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EC5F31">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left"/>
        <w:textAlignment w:val="auto"/>
        <w:outlineLvl w:val="1"/>
        <w:rPr>
          <w:rFonts w:hint="eastAsia" w:asciiTheme="minorEastAsia" w:hAnsiTheme="minorEastAsia" w:eastAsiaTheme="minorEastAsia" w:cstheme="minorEastAsia"/>
          <w:b/>
          <w:bCs/>
          <w:i w:val="0"/>
          <w:iCs w:val="0"/>
          <w:color w:val="auto"/>
          <w:spacing w:val="0"/>
          <w:kern w:val="0"/>
          <w:sz w:val="21"/>
          <w:szCs w:val="21"/>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1"/>
          <w:szCs w:val="21"/>
          <w:highlight w:val="none"/>
          <w:lang w:val="en-US" w:eastAsia="zh-CN" w:bidi="ar-SA"/>
        </w:rPr>
        <w:t>附件2：资格审查表2</w:t>
      </w:r>
    </w:p>
    <w:p w14:paraId="70E81165">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eastAsia" w:asciiTheme="minorEastAsia" w:hAnsiTheme="minorEastAsia" w:eastAsiaTheme="minorEastAsia" w:cstheme="minorEastAsia"/>
          <w:b/>
          <w:bCs/>
          <w:i w:val="0"/>
          <w:iCs w:val="0"/>
          <w:color w:val="auto"/>
          <w:spacing w:val="0"/>
          <w:kern w:val="0"/>
          <w:sz w:val="21"/>
          <w:szCs w:val="21"/>
          <w:highlight w:val="none"/>
          <w:lang w:val="en-US" w:eastAsia="zh-CN" w:bidi="ar-SA"/>
        </w:rPr>
      </w:pPr>
      <w:bookmarkStart w:id="0" w:name="_GoBack"/>
      <w:r>
        <w:rPr>
          <w:rFonts w:hint="eastAsia" w:asciiTheme="minorEastAsia" w:hAnsiTheme="minorEastAsia" w:eastAsiaTheme="minorEastAsia" w:cstheme="minorEastAsia"/>
          <w:b/>
          <w:bCs/>
          <w:i w:val="0"/>
          <w:iCs w:val="0"/>
          <w:color w:val="auto"/>
          <w:spacing w:val="0"/>
          <w:kern w:val="0"/>
          <w:sz w:val="21"/>
          <w:szCs w:val="21"/>
          <w:highlight w:val="none"/>
          <w:lang w:val="en-US" w:eastAsia="zh-CN" w:bidi="ar-SA"/>
        </w:rPr>
        <w:t>资格审查现场查勘表</w:t>
      </w:r>
      <w:bookmarkEnd w:id="0"/>
    </w:p>
    <w:p w14:paraId="3A926B3A">
      <w:pPr>
        <w:keepNext w:val="0"/>
        <w:keepLines w:val="0"/>
        <w:pageBreakBefore w:val="0"/>
        <w:widowControl w:val="0"/>
        <w:kinsoku/>
        <w:wordWrap/>
        <w:overflowPunct/>
        <w:topLinePunct w:val="0"/>
        <w:autoSpaceDE w:val="0"/>
        <w:autoSpaceDN w:val="0"/>
        <w:bidi w:val="0"/>
        <w:adjustRightInd/>
        <w:snapToGrid w:val="0"/>
        <w:spacing w:before="0" w:beforeLines="0" w:after="0" w:afterLines="0" w:line="360" w:lineRule="auto"/>
        <w:ind w:left="0" w:leftChars="0" w:right="0" w:rightChars="0" w:firstLine="0" w:firstLineChars="0"/>
        <w:jc w:val="center"/>
        <w:textAlignment w:val="auto"/>
        <w:outlineLvl w:val="1"/>
        <w:rPr>
          <w:rFonts w:hint="default" w:asciiTheme="minorEastAsia" w:hAnsiTheme="minorEastAsia" w:eastAsiaTheme="minorEastAsia" w:cstheme="minorEastAsia"/>
          <w:b/>
          <w:bCs/>
          <w:i w:val="0"/>
          <w:iCs w:val="0"/>
          <w:color w:val="auto"/>
          <w:spacing w:val="0"/>
          <w:kern w:val="0"/>
          <w:sz w:val="21"/>
          <w:szCs w:val="21"/>
          <w:highlight w:val="none"/>
          <w:lang w:val="en-US" w:eastAsia="zh-CN" w:bidi="ar-SA"/>
        </w:rPr>
      </w:pPr>
      <w:r>
        <w:rPr>
          <w:rFonts w:hint="eastAsia" w:asciiTheme="minorEastAsia" w:hAnsiTheme="minorEastAsia" w:eastAsiaTheme="minorEastAsia" w:cstheme="minorEastAsia"/>
          <w:b/>
          <w:bCs/>
          <w:i w:val="0"/>
          <w:iCs w:val="0"/>
          <w:color w:val="auto"/>
          <w:spacing w:val="0"/>
          <w:kern w:val="0"/>
          <w:sz w:val="21"/>
          <w:szCs w:val="21"/>
          <w:highlight w:val="none"/>
          <w:lang w:val="en-US" w:eastAsia="zh-CN" w:bidi="ar-SA"/>
        </w:rPr>
        <w:t>（第二标段：日配鲜活水产配送）</w:t>
      </w:r>
    </w:p>
    <w:p w14:paraId="159B0DF6">
      <w:pPr>
        <w:pStyle w:val="7"/>
        <w:ind w:left="0" w:leftChars="0" w:firstLine="0" w:firstLineChars="0"/>
        <w:rPr>
          <w:rFonts w:hint="eastAsia"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bCs/>
          <w:i w:val="0"/>
          <w:iCs w:val="0"/>
          <w:caps w:val="0"/>
          <w:color w:val="auto"/>
          <w:spacing w:val="0"/>
          <w:kern w:val="2"/>
          <w:sz w:val="21"/>
          <w:szCs w:val="21"/>
          <w:highlight w:val="none"/>
          <w:lang w:val="en-US" w:eastAsia="zh-CN" w:bidi="ar-SA"/>
        </w:rPr>
        <w:t>投标单位名称：</w:t>
      </w:r>
    </w:p>
    <w:tbl>
      <w:tblPr>
        <w:tblStyle w:val="4"/>
        <w:tblW w:w="989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9"/>
        <w:gridCol w:w="4783"/>
        <w:gridCol w:w="2918"/>
        <w:gridCol w:w="1374"/>
      </w:tblGrid>
      <w:tr w14:paraId="1B3172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7" w:hRule="atLeast"/>
          <w:jc w:val="center"/>
        </w:trPr>
        <w:tc>
          <w:tcPr>
            <w:tcW w:w="819" w:type="dxa"/>
            <w:noWrap w:val="0"/>
            <w:vAlign w:val="center"/>
          </w:tcPr>
          <w:p w14:paraId="1AB931CC">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1"/>
                <w:szCs w:val="21"/>
                <w:highlight w:val="none"/>
                <w:lang w:val="zh-CN" w:eastAsia="zh-CN"/>
              </w:rPr>
            </w:pPr>
            <w:r>
              <w:rPr>
                <w:rFonts w:hint="eastAsia" w:asciiTheme="minorEastAsia" w:hAnsiTheme="minorEastAsia" w:eastAsiaTheme="minorEastAsia" w:cstheme="minorEastAsia"/>
                <w:b/>
                <w:bCs/>
                <w:color w:val="auto"/>
                <w:kern w:val="0"/>
                <w:sz w:val="21"/>
                <w:szCs w:val="21"/>
                <w:highlight w:val="none"/>
                <w:lang w:val="zh-CN" w:eastAsia="zh-CN"/>
              </w:rPr>
              <w:t>序号</w:t>
            </w:r>
          </w:p>
        </w:tc>
        <w:tc>
          <w:tcPr>
            <w:tcW w:w="4783" w:type="dxa"/>
            <w:tcBorders>
              <w:right w:val="single" w:color="auto" w:sz="4" w:space="0"/>
            </w:tcBorders>
            <w:noWrap w:val="0"/>
            <w:vAlign w:val="center"/>
          </w:tcPr>
          <w:p w14:paraId="2BD97D3C">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1"/>
                <w:szCs w:val="21"/>
                <w:highlight w:val="none"/>
                <w:lang w:val="zh-CN" w:eastAsia="zh-CN"/>
              </w:rPr>
            </w:pPr>
            <w:r>
              <w:rPr>
                <w:rFonts w:hint="eastAsia" w:asciiTheme="minorEastAsia" w:hAnsiTheme="minorEastAsia" w:eastAsiaTheme="minorEastAsia" w:cstheme="minorEastAsia"/>
                <w:b/>
                <w:bCs/>
                <w:color w:val="auto"/>
                <w:kern w:val="0"/>
                <w:sz w:val="21"/>
                <w:szCs w:val="21"/>
                <w:highlight w:val="none"/>
                <w:lang w:val="zh-CN" w:eastAsia="zh-CN"/>
              </w:rPr>
              <w:t>投标单位资格条件、自填信息</w:t>
            </w:r>
          </w:p>
        </w:tc>
        <w:tc>
          <w:tcPr>
            <w:tcW w:w="2918" w:type="dxa"/>
            <w:tcBorders>
              <w:left w:val="single" w:color="auto" w:sz="4" w:space="0"/>
            </w:tcBorders>
            <w:noWrap w:val="0"/>
            <w:vAlign w:val="center"/>
          </w:tcPr>
          <w:p w14:paraId="703B1302">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1"/>
                <w:szCs w:val="21"/>
                <w:highlight w:val="none"/>
                <w:lang w:val="zh-CN" w:eastAsia="zh-CN"/>
              </w:rPr>
            </w:pPr>
            <w:r>
              <w:rPr>
                <w:rFonts w:hint="eastAsia" w:asciiTheme="minorEastAsia" w:hAnsiTheme="minorEastAsia" w:eastAsiaTheme="minorEastAsia" w:cstheme="minorEastAsia"/>
                <w:b/>
                <w:bCs/>
                <w:color w:val="auto"/>
                <w:kern w:val="0"/>
                <w:sz w:val="21"/>
                <w:szCs w:val="21"/>
                <w:highlight w:val="none"/>
                <w:lang w:val="en-US" w:eastAsia="zh-CN"/>
              </w:rPr>
              <w:t>审查</w:t>
            </w:r>
            <w:r>
              <w:rPr>
                <w:rFonts w:hint="eastAsia" w:asciiTheme="minorEastAsia" w:hAnsiTheme="minorEastAsia" w:eastAsiaTheme="minorEastAsia" w:cstheme="minorEastAsia"/>
                <w:b/>
                <w:bCs/>
                <w:color w:val="auto"/>
                <w:kern w:val="0"/>
                <w:sz w:val="21"/>
                <w:szCs w:val="21"/>
                <w:highlight w:val="none"/>
                <w:lang w:val="zh-CN" w:eastAsia="zh-CN"/>
              </w:rPr>
              <w:t>内容及方式</w:t>
            </w:r>
          </w:p>
        </w:tc>
        <w:tc>
          <w:tcPr>
            <w:tcW w:w="1374" w:type="dxa"/>
            <w:noWrap w:val="0"/>
            <w:vAlign w:val="center"/>
          </w:tcPr>
          <w:p w14:paraId="57340B93">
            <w:pPr>
              <w:keepNext w:val="0"/>
              <w:keepLines w:val="0"/>
              <w:pageBreakBefore w:val="0"/>
              <w:kinsoku/>
              <w:wordWrap/>
              <w:overflowPunct/>
              <w:topLinePunct w:val="0"/>
              <w:bidi w:val="0"/>
              <w:spacing w:line="560" w:lineRule="exact"/>
              <w:jc w:val="center"/>
              <w:textAlignment w:val="auto"/>
              <w:rPr>
                <w:rFonts w:hint="eastAsia" w:asciiTheme="minorEastAsia" w:hAnsiTheme="minorEastAsia" w:eastAsiaTheme="minorEastAsia" w:cstheme="minorEastAsia"/>
                <w:b/>
                <w:bCs/>
                <w:color w:val="auto"/>
                <w:kern w:val="0"/>
                <w:sz w:val="21"/>
                <w:szCs w:val="21"/>
                <w:highlight w:val="none"/>
                <w:lang w:val="zh-CN" w:eastAsia="zh-CN"/>
              </w:rPr>
            </w:pPr>
            <w:r>
              <w:rPr>
                <w:rFonts w:hint="eastAsia" w:asciiTheme="minorEastAsia" w:hAnsiTheme="minorEastAsia" w:eastAsiaTheme="minorEastAsia" w:cstheme="minorEastAsia"/>
                <w:b/>
                <w:bCs/>
                <w:color w:val="auto"/>
                <w:kern w:val="0"/>
                <w:sz w:val="21"/>
                <w:szCs w:val="21"/>
                <w:highlight w:val="none"/>
                <w:lang w:val="en-US" w:eastAsia="zh-CN"/>
              </w:rPr>
              <w:t>审查</w:t>
            </w:r>
            <w:r>
              <w:rPr>
                <w:rFonts w:hint="eastAsia" w:asciiTheme="minorEastAsia" w:hAnsiTheme="minorEastAsia" w:eastAsiaTheme="minorEastAsia" w:cstheme="minorEastAsia"/>
                <w:b/>
                <w:bCs/>
                <w:color w:val="auto"/>
                <w:kern w:val="0"/>
                <w:sz w:val="21"/>
                <w:szCs w:val="21"/>
                <w:highlight w:val="none"/>
                <w:lang w:val="zh-CN" w:eastAsia="zh-CN"/>
              </w:rPr>
              <w:t>情况</w:t>
            </w:r>
          </w:p>
        </w:tc>
      </w:tr>
      <w:tr w14:paraId="12E578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20E98B05">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val="0"/>
                <w:bCs/>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b w:val="0"/>
                <w:bCs/>
                <w:i w:val="0"/>
                <w:iCs w:val="0"/>
                <w:color w:val="auto"/>
                <w:spacing w:val="0"/>
                <w:kern w:val="2"/>
                <w:sz w:val="21"/>
                <w:szCs w:val="21"/>
                <w:highlight w:val="none"/>
                <w:lang w:val="en-US" w:eastAsia="zh-CN" w:bidi="zh-CN"/>
              </w:rPr>
              <w:t>1</w:t>
            </w:r>
          </w:p>
        </w:tc>
        <w:tc>
          <w:tcPr>
            <w:tcW w:w="4783" w:type="dxa"/>
            <w:noWrap w:val="0"/>
            <w:vAlign w:val="center"/>
          </w:tcPr>
          <w:p w14:paraId="1E5E03F4">
            <w:pPr>
              <w:keepNext w:val="0"/>
              <w:keepLines w:val="0"/>
              <w:pageBreakBefore w:val="0"/>
              <w:widowControl w:val="0"/>
              <w:kinsoku/>
              <w:wordWrap/>
              <w:overflowPunct/>
              <w:topLinePunct w:val="0"/>
              <w:autoSpaceDE w:val="0"/>
              <w:autoSpaceDN w:val="0"/>
              <w:bidi w:val="0"/>
              <w:adjustRightInd/>
              <w:snapToGrid w:val="0"/>
              <w:spacing w:before="0" w:line="560" w:lineRule="exact"/>
              <w:ind w:left="0" w:leftChars="0" w:right="0" w:rightChars="0" w:firstLine="210" w:firstLineChars="10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投标单位营业执照</w:t>
            </w:r>
          </w:p>
        </w:tc>
        <w:tc>
          <w:tcPr>
            <w:tcW w:w="2918" w:type="dxa"/>
            <w:noWrap w:val="0"/>
            <w:vAlign w:val="center"/>
          </w:tcPr>
          <w:p w14:paraId="06442513">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现场核查营业执照</w:t>
            </w:r>
          </w:p>
        </w:tc>
        <w:tc>
          <w:tcPr>
            <w:tcW w:w="1374" w:type="dxa"/>
            <w:noWrap w:val="0"/>
            <w:vAlign w:val="center"/>
          </w:tcPr>
          <w:p w14:paraId="3471EDAB">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口符合</w:t>
            </w:r>
          </w:p>
          <w:p w14:paraId="649E3C01">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口不符合</w:t>
            </w:r>
          </w:p>
        </w:tc>
      </w:tr>
      <w:tr w14:paraId="73F13E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3" w:hRule="atLeast"/>
          <w:jc w:val="center"/>
        </w:trPr>
        <w:tc>
          <w:tcPr>
            <w:tcW w:w="819" w:type="dxa"/>
            <w:noWrap w:val="0"/>
            <w:vAlign w:val="center"/>
          </w:tcPr>
          <w:p w14:paraId="51040927">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val="0"/>
                <w:bCs/>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b w:val="0"/>
                <w:bCs/>
                <w:i w:val="0"/>
                <w:iCs w:val="0"/>
                <w:color w:val="auto"/>
                <w:spacing w:val="0"/>
                <w:kern w:val="2"/>
                <w:sz w:val="21"/>
                <w:szCs w:val="21"/>
                <w:highlight w:val="none"/>
                <w:lang w:val="zh-CN" w:eastAsia="zh-CN" w:bidi="zh-CN"/>
              </w:rPr>
              <w:t>2</w:t>
            </w:r>
          </w:p>
        </w:tc>
        <w:tc>
          <w:tcPr>
            <w:tcW w:w="4783" w:type="dxa"/>
            <w:noWrap w:val="0"/>
            <w:vAlign w:val="center"/>
          </w:tcPr>
          <w:p w14:paraId="70A1A6C2">
            <w:pPr>
              <w:keepNext w:val="0"/>
              <w:keepLines w:val="0"/>
              <w:pageBreakBefore w:val="0"/>
              <w:widowControl w:val="0"/>
              <w:kinsoku/>
              <w:wordWrap/>
              <w:overflowPunct/>
              <w:topLinePunct w:val="0"/>
              <w:autoSpaceDE w:val="0"/>
              <w:autoSpaceDN w:val="0"/>
              <w:bidi w:val="0"/>
              <w:adjustRightInd/>
              <w:snapToGrid w:val="0"/>
              <w:spacing w:before="0" w:line="560" w:lineRule="exact"/>
              <w:ind w:left="0" w:leftChars="0" w:right="0" w:rightChars="0" w:firstLine="210" w:firstLineChars="10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法定代表人授权委托书</w:t>
            </w:r>
          </w:p>
        </w:tc>
        <w:tc>
          <w:tcPr>
            <w:tcW w:w="2918" w:type="dxa"/>
            <w:noWrap w:val="0"/>
            <w:vAlign w:val="center"/>
          </w:tcPr>
          <w:p w14:paraId="6A391174">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现场核查授权书原件</w:t>
            </w:r>
          </w:p>
          <w:p w14:paraId="0E5E8840">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及授权代表身份证原件</w:t>
            </w:r>
          </w:p>
        </w:tc>
        <w:tc>
          <w:tcPr>
            <w:tcW w:w="1374" w:type="dxa"/>
            <w:noWrap w:val="0"/>
            <w:vAlign w:val="center"/>
          </w:tcPr>
          <w:p w14:paraId="359F841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口符合</w:t>
            </w:r>
          </w:p>
          <w:p w14:paraId="4D14D807">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口不符合</w:t>
            </w:r>
          </w:p>
        </w:tc>
      </w:tr>
      <w:tr w14:paraId="118E6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3" w:hRule="atLeast"/>
          <w:jc w:val="center"/>
        </w:trPr>
        <w:tc>
          <w:tcPr>
            <w:tcW w:w="819" w:type="dxa"/>
            <w:noWrap w:val="0"/>
            <w:vAlign w:val="center"/>
          </w:tcPr>
          <w:p w14:paraId="2B858F31">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val="0"/>
                <w:bCs/>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b w:val="0"/>
                <w:bCs/>
                <w:i w:val="0"/>
                <w:iCs w:val="0"/>
                <w:color w:val="auto"/>
                <w:spacing w:val="0"/>
                <w:kern w:val="2"/>
                <w:sz w:val="21"/>
                <w:szCs w:val="21"/>
                <w:highlight w:val="none"/>
                <w:lang w:val="zh-CN" w:eastAsia="zh-CN" w:bidi="zh-CN"/>
              </w:rPr>
              <w:t>3</w:t>
            </w:r>
          </w:p>
        </w:tc>
        <w:tc>
          <w:tcPr>
            <w:tcW w:w="4783" w:type="dxa"/>
            <w:noWrap w:val="0"/>
            <w:vAlign w:val="center"/>
          </w:tcPr>
          <w:p w14:paraId="3ED0045C">
            <w:pPr>
              <w:keepNext w:val="0"/>
              <w:keepLines w:val="0"/>
              <w:pageBreakBefore w:val="0"/>
              <w:widowControl w:val="0"/>
              <w:kinsoku/>
              <w:wordWrap/>
              <w:overflowPunct/>
              <w:topLinePunct w:val="0"/>
              <w:autoSpaceDE w:val="0"/>
              <w:autoSpaceDN w:val="0"/>
              <w:bidi w:val="0"/>
              <w:adjustRightInd/>
              <w:snapToGrid w:val="0"/>
              <w:spacing w:before="0" w:line="560" w:lineRule="exact"/>
              <w:ind w:left="210" w:leftChars="10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具有行业主管部门颁发的</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《食品生产许可证》或《食品经营许可证》</w:t>
            </w: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（食品</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生产许可证或食品</w:t>
            </w: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经营许可证载明的经营场所应当与营业执照住所和配送操作场所一致）</w:t>
            </w:r>
          </w:p>
        </w:tc>
        <w:tc>
          <w:tcPr>
            <w:tcW w:w="2918" w:type="dxa"/>
            <w:noWrap w:val="0"/>
            <w:vAlign w:val="center"/>
          </w:tcPr>
          <w:p w14:paraId="398250B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现场核查有效证明文件</w:t>
            </w:r>
          </w:p>
        </w:tc>
        <w:tc>
          <w:tcPr>
            <w:tcW w:w="1374" w:type="dxa"/>
            <w:noWrap w:val="0"/>
            <w:vAlign w:val="center"/>
          </w:tcPr>
          <w:p w14:paraId="7CC422D5">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口符合</w:t>
            </w:r>
          </w:p>
          <w:p w14:paraId="07E9D88D">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口不符合</w:t>
            </w:r>
          </w:p>
        </w:tc>
      </w:tr>
      <w:tr w14:paraId="7872BF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8" w:hRule="atLeast"/>
          <w:jc w:val="center"/>
        </w:trPr>
        <w:tc>
          <w:tcPr>
            <w:tcW w:w="819" w:type="dxa"/>
            <w:noWrap w:val="0"/>
            <w:vAlign w:val="center"/>
          </w:tcPr>
          <w:p w14:paraId="0B5D2778">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val="0"/>
                <w:bCs/>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b w:val="0"/>
                <w:bCs/>
                <w:i w:val="0"/>
                <w:iCs w:val="0"/>
                <w:color w:val="auto"/>
                <w:spacing w:val="0"/>
                <w:kern w:val="2"/>
                <w:sz w:val="21"/>
                <w:szCs w:val="21"/>
                <w:highlight w:val="none"/>
                <w:lang w:val="en-US" w:eastAsia="zh-CN" w:bidi="zh-CN"/>
              </w:rPr>
              <w:t>4</w:t>
            </w:r>
          </w:p>
        </w:tc>
        <w:tc>
          <w:tcPr>
            <w:tcW w:w="4783" w:type="dxa"/>
            <w:noWrap w:val="0"/>
            <w:vAlign w:val="center"/>
          </w:tcPr>
          <w:p w14:paraId="0A6328EB">
            <w:pPr>
              <w:keepNext w:val="0"/>
              <w:keepLines w:val="0"/>
              <w:pageBreakBefore w:val="0"/>
              <w:widowControl w:val="0"/>
              <w:kinsoku/>
              <w:wordWrap/>
              <w:overflowPunct/>
              <w:topLinePunct w:val="0"/>
              <w:autoSpaceDE w:val="0"/>
              <w:autoSpaceDN w:val="0"/>
              <w:bidi w:val="0"/>
              <w:adjustRightInd/>
              <w:snapToGrid w:val="0"/>
              <w:spacing w:before="0" w:line="560" w:lineRule="exact"/>
              <w:ind w:left="210" w:leftChars="10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投标单位至今开展过企事业单位鲜活水产食堂食材配送服务</w:t>
            </w:r>
          </w:p>
        </w:tc>
        <w:tc>
          <w:tcPr>
            <w:tcW w:w="2918" w:type="dxa"/>
            <w:noWrap w:val="0"/>
            <w:vAlign w:val="center"/>
          </w:tcPr>
          <w:p w14:paraId="108D2D7B">
            <w:pPr>
              <w:keepNext w:val="0"/>
              <w:keepLines w:val="0"/>
              <w:pageBreakBefore w:val="0"/>
              <w:widowControl w:val="0"/>
              <w:kinsoku/>
              <w:wordWrap/>
              <w:overflowPunct/>
              <w:topLinePunct w:val="0"/>
              <w:autoSpaceDE w:val="0"/>
              <w:autoSpaceDN w:val="0"/>
              <w:bidi w:val="0"/>
              <w:adjustRightInd/>
              <w:snapToGrid w:val="0"/>
              <w:spacing w:before="0" w:line="560" w:lineRule="exact"/>
              <w:ind w:left="344" w:leftChars="16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b w:val="0"/>
                <w:bCs w:val="0"/>
                <w:color w:val="000000" w:themeColor="text1"/>
                <w:sz w:val="21"/>
                <w:szCs w:val="21"/>
                <w:highlight w:val="none"/>
                <w:shd w:val="clear" w:color="auto" w:fill="auto"/>
                <w:lang w:val="en-US" w:eastAsia="zh-CN"/>
                <w14:textFill>
                  <w14:solidFill>
                    <w14:schemeClr w14:val="tx1"/>
                  </w14:solidFill>
                </w14:textFill>
              </w:rPr>
              <w:t>现场核查自合同生效之日起配送服务须满足一个月及以上的合同及发票的相关证明材料</w:t>
            </w:r>
          </w:p>
        </w:tc>
        <w:tc>
          <w:tcPr>
            <w:tcW w:w="1374" w:type="dxa"/>
            <w:noWrap w:val="0"/>
            <w:vAlign w:val="center"/>
          </w:tcPr>
          <w:p w14:paraId="20AA7879">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口符合</w:t>
            </w:r>
          </w:p>
          <w:p w14:paraId="2831FE02">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口不符合</w:t>
            </w:r>
          </w:p>
        </w:tc>
      </w:tr>
      <w:tr w14:paraId="5383E5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9" w:hRule="atLeast"/>
          <w:jc w:val="center"/>
        </w:trPr>
        <w:tc>
          <w:tcPr>
            <w:tcW w:w="819" w:type="dxa"/>
            <w:noWrap w:val="0"/>
            <w:vAlign w:val="center"/>
          </w:tcPr>
          <w:p w14:paraId="0093839F">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b/>
                <w:i w:val="0"/>
                <w:iCs w:val="0"/>
                <w:color w:val="auto"/>
                <w:spacing w:val="0"/>
                <w:kern w:val="2"/>
                <w:sz w:val="21"/>
                <w:szCs w:val="21"/>
                <w:highlight w:val="none"/>
                <w:lang w:val="zh-CN" w:eastAsia="zh-CN" w:bidi="zh-CN"/>
              </w:rPr>
              <w:t>5</w:t>
            </w:r>
          </w:p>
        </w:tc>
        <w:tc>
          <w:tcPr>
            <w:tcW w:w="4783" w:type="dxa"/>
            <w:noWrap w:val="0"/>
            <w:vAlign w:val="center"/>
          </w:tcPr>
          <w:p w14:paraId="77101A1B">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固定经营场地需相连，经营场所为自有</w:t>
            </w:r>
          </w:p>
          <w:p w14:paraId="2C67C14B">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或租赁</w:t>
            </w:r>
          </w:p>
        </w:tc>
        <w:tc>
          <w:tcPr>
            <w:tcW w:w="2918" w:type="dxa"/>
            <w:noWrap w:val="0"/>
            <w:vAlign w:val="center"/>
          </w:tcPr>
          <w:p w14:paraId="3FB0C534">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场地相连</w:t>
            </w:r>
          </w:p>
          <w:p w14:paraId="0644BF09">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现场核查</w:t>
            </w:r>
            <w:r>
              <w:rPr>
                <w:rFonts w:hint="eastAsia" w:asciiTheme="minorEastAsia" w:hAnsiTheme="minorEastAsia" w:eastAsiaTheme="minorEastAsia" w:cstheme="minorEastAsia"/>
                <w:i w:val="0"/>
                <w:iCs w:val="0"/>
                <w:color w:val="auto"/>
                <w:spacing w:val="0"/>
                <w:kern w:val="2"/>
                <w:sz w:val="21"/>
                <w:szCs w:val="21"/>
                <w:highlight w:val="none"/>
                <w:lang w:val="en-US" w:eastAsia="zh" w:bidi="zh-CN"/>
              </w:rPr>
              <w:t>相关产权证明</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原件或仍在合同期内的租赁协议原件及出租方相关产权证明原件等</w:t>
            </w:r>
            <w:r>
              <w:rPr>
                <w:rFonts w:hint="eastAsia" w:asciiTheme="minorEastAsia" w:hAnsiTheme="minorEastAsia" w:eastAsiaTheme="minorEastAsia" w:cstheme="minorEastAsia"/>
                <w:i w:val="0"/>
                <w:iCs w:val="0"/>
                <w:color w:val="auto"/>
                <w:spacing w:val="0"/>
                <w:kern w:val="2"/>
                <w:sz w:val="21"/>
                <w:szCs w:val="21"/>
                <w:highlight w:val="none"/>
                <w:lang w:val="en-US" w:eastAsia="zh" w:bidi="zh-CN"/>
              </w:rPr>
              <w:t>；</w:t>
            </w:r>
            <w:r>
              <w:rPr>
                <w:rFonts w:hint="eastAsia" w:ascii="宋体" w:hAnsi="宋体" w:cs="宋体"/>
                <w:color w:val="auto"/>
                <w:spacing w:val="0"/>
                <w:position w:val="0"/>
                <w:sz w:val="21"/>
                <w:szCs w:val="21"/>
                <w:highlight w:val="none"/>
                <w:u w:val="none"/>
                <w:lang w:val="en-US" w:eastAsia="zh-CN"/>
              </w:rPr>
              <w:t>如</w:t>
            </w:r>
            <w:r>
              <w:rPr>
                <w:rFonts w:hint="eastAsia" w:ascii="宋体" w:hAnsi="宋体" w:cs="宋体"/>
                <w:color w:val="auto"/>
                <w:spacing w:val="0"/>
                <w:position w:val="0"/>
                <w:sz w:val="21"/>
                <w:szCs w:val="21"/>
                <w:highlight w:val="none"/>
                <w:u w:val="none"/>
                <w:lang w:eastAsia="zh-CN"/>
              </w:rPr>
              <w:t>租赁房产为集体资产的，须提供租赁合同、发票及主管部门盖章的集体资产证明材料；</w:t>
            </w:r>
            <w:r>
              <w:rPr>
                <w:rFonts w:hint="eastAsia" w:asciiTheme="minorEastAsia" w:hAnsiTheme="minorEastAsia" w:eastAsiaTheme="minorEastAsia" w:cstheme="minorEastAsia"/>
                <w:i w:val="0"/>
                <w:iCs w:val="0"/>
                <w:color w:val="auto"/>
                <w:spacing w:val="0"/>
                <w:kern w:val="2"/>
                <w:sz w:val="21"/>
                <w:szCs w:val="21"/>
                <w:highlight w:val="none"/>
                <w:u w:val="none"/>
                <w:lang w:val="en-US" w:eastAsia="zh-CN" w:bidi="zh-CN"/>
              </w:rPr>
              <w:t>（</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自有产权证明的所有人必须为投标单位）</w:t>
            </w:r>
          </w:p>
        </w:tc>
        <w:tc>
          <w:tcPr>
            <w:tcW w:w="1374" w:type="dxa"/>
            <w:noWrap w:val="0"/>
            <w:vAlign w:val="center"/>
          </w:tcPr>
          <w:p w14:paraId="441B4EA4">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口符合</w:t>
            </w:r>
          </w:p>
          <w:p w14:paraId="2BCC6FBA">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口不符合</w:t>
            </w:r>
          </w:p>
        </w:tc>
      </w:tr>
      <w:tr w14:paraId="2BC1E4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0" w:hRule="atLeast"/>
          <w:jc w:val="center"/>
        </w:trPr>
        <w:tc>
          <w:tcPr>
            <w:tcW w:w="819" w:type="dxa"/>
            <w:noWrap w:val="0"/>
            <w:vAlign w:val="center"/>
          </w:tcPr>
          <w:p w14:paraId="13A13BAF">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t>6</w:t>
            </w:r>
          </w:p>
        </w:tc>
        <w:tc>
          <w:tcPr>
            <w:tcW w:w="4783" w:type="dxa"/>
            <w:noWrap w:val="0"/>
            <w:vAlign w:val="center"/>
          </w:tcPr>
          <w:p w14:paraId="3C3FF2CA">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default"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用于本项目的自有或租赁3辆及以上车辆，具有</w:t>
            </w:r>
            <w:r>
              <w:rPr>
                <w:rFonts w:hint="eastAsia" w:asciiTheme="minorEastAsia" w:hAnsiTheme="minorEastAsia" w:eastAsiaTheme="minorEastAsia" w:cstheme="minorEastAsia"/>
                <w:b w:val="0"/>
                <w:bCs w:val="0"/>
                <w:color w:val="auto"/>
                <w:sz w:val="21"/>
                <w:szCs w:val="21"/>
                <w:highlight w:val="none"/>
                <w:shd w:val="clear" w:color="auto" w:fill="auto"/>
                <w:lang w:val="en-US" w:eastAsia="zh-CN"/>
              </w:rPr>
              <w:t>增氧设备，有保鲜、保活的配送能力</w:t>
            </w:r>
          </w:p>
        </w:tc>
        <w:tc>
          <w:tcPr>
            <w:tcW w:w="2918" w:type="dxa"/>
            <w:noWrap w:val="0"/>
            <w:vAlign w:val="center"/>
          </w:tcPr>
          <w:p w14:paraId="77E34FB9">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提供服务于本项目的车辆的产权证明、车辆行驶证，如为租赁的还须提供服务期内的租赁协议；增氧设备须提供采购凭证（如合同、发票）及实物彩图；</w:t>
            </w:r>
          </w:p>
          <w:p w14:paraId="7FE92431">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aps w:val="0"/>
                <w:color w:val="auto"/>
                <w:spacing w:val="0"/>
                <w:sz w:val="21"/>
                <w:szCs w:val="21"/>
                <w:highlight w:val="none"/>
                <w:lang w:val="en-US" w:eastAsia="zh-CN"/>
              </w:rPr>
            </w:pPr>
            <w:r>
              <w:rPr>
                <w:rFonts w:hint="eastAsia" w:asciiTheme="minorEastAsia" w:hAnsiTheme="minorEastAsia" w:eastAsiaTheme="minorEastAsia" w:cstheme="minorEastAsia"/>
                <w:b/>
                <w:bCs/>
                <w:i w:val="0"/>
                <w:iCs w:val="0"/>
                <w:color w:val="auto"/>
                <w:spacing w:val="0"/>
                <w:kern w:val="2"/>
                <w:sz w:val="21"/>
                <w:szCs w:val="21"/>
                <w:highlight w:val="none"/>
                <w:u w:val="single"/>
                <w:lang w:val="en-US" w:eastAsia="zh-CN" w:bidi="zh-CN"/>
              </w:rPr>
              <w:t>注：</w:t>
            </w:r>
            <w:r>
              <w:rPr>
                <w:rFonts w:hint="eastAsia" w:asciiTheme="minorEastAsia" w:hAnsiTheme="minorEastAsia" w:eastAsiaTheme="minorEastAsia" w:cstheme="minorEastAsia"/>
                <w:i w:val="0"/>
                <w:iCs w:val="0"/>
                <w:color w:val="auto"/>
                <w:spacing w:val="0"/>
                <w:kern w:val="2"/>
                <w:sz w:val="21"/>
                <w:szCs w:val="21"/>
                <w:highlight w:val="none"/>
                <w:u w:val="single"/>
                <w:lang w:val="en-US" w:eastAsia="zh-CN" w:bidi="zh-CN"/>
              </w:rPr>
              <w:t>提供中标后接入江苏省阳光食堂信息化监管平台苏州模块承诺书</w:t>
            </w:r>
          </w:p>
        </w:tc>
        <w:tc>
          <w:tcPr>
            <w:tcW w:w="1374" w:type="dxa"/>
            <w:noWrap w:val="0"/>
            <w:vAlign w:val="center"/>
          </w:tcPr>
          <w:p w14:paraId="6E3C664F">
            <w:pPr>
              <w:keepNext w:val="0"/>
              <w:keepLines w:val="0"/>
              <w:pageBreakBefore w:val="0"/>
              <w:widowControl w:val="0"/>
              <w:kinsoku/>
              <w:wordWrap/>
              <w:overflowPunct/>
              <w:topLinePunct w:val="0"/>
              <w:autoSpaceDE w:val="0"/>
              <w:autoSpaceDN w:val="0"/>
              <w:bidi w:val="0"/>
              <w:adjustRightInd/>
              <w:snapToGrid w:val="0"/>
              <w:spacing w:before="0" w:line="560" w:lineRule="exact"/>
              <w:ind w:left="945" w:leftChars="50" w:right="0" w:rightChars="0" w:hanging="840" w:hangingChars="40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实际车辆：</w:t>
            </w:r>
          </w:p>
          <w:p w14:paraId="6C11CA40">
            <w:pPr>
              <w:keepNext w:val="0"/>
              <w:keepLines w:val="0"/>
              <w:pageBreakBefore w:val="0"/>
              <w:widowControl w:val="0"/>
              <w:kinsoku/>
              <w:wordWrap/>
              <w:overflowPunct/>
              <w:topLinePunct w:val="0"/>
              <w:autoSpaceDE w:val="0"/>
              <w:autoSpaceDN w:val="0"/>
              <w:bidi w:val="0"/>
              <w:adjustRightInd/>
              <w:snapToGrid w:val="0"/>
              <w:spacing w:before="0" w:line="560" w:lineRule="exact"/>
              <w:ind w:left="945" w:leftChars="50" w:right="0" w:rightChars="0" w:hanging="840" w:hangingChars="40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1"/>
                <w:szCs w:val="21"/>
                <w:highlight w:val="none"/>
                <w:u w:val="none"/>
                <w:lang w:val="zh-CN" w:eastAsia="zh-CN" w:bidi="zh-CN"/>
              </w:rPr>
              <w:t>辆</w:t>
            </w:r>
          </w:p>
          <w:p w14:paraId="54F8F9E2">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口符合</w:t>
            </w:r>
          </w:p>
          <w:p w14:paraId="61ED1C1B">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口不符合</w:t>
            </w:r>
          </w:p>
        </w:tc>
      </w:tr>
      <w:tr w14:paraId="6F303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0F3F2D8E">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t>7</w:t>
            </w:r>
          </w:p>
        </w:tc>
        <w:tc>
          <w:tcPr>
            <w:tcW w:w="4783" w:type="dxa"/>
            <w:noWrap w:val="0"/>
            <w:vAlign w:val="center"/>
          </w:tcPr>
          <w:p w14:paraId="13F9EBDE">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经营场所在</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100</w:t>
            </w: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公里内：</w:t>
            </w:r>
          </w:p>
          <w:p w14:paraId="65B2289F">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（参照地：</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江苏省苏州市第一中学校</w:t>
            </w: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以</w:t>
            </w: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最短线路</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为准</w:t>
            </w: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须提供百度地图或高德地图最短线路完整截图。</w:t>
            </w: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w:t>
            </w:r>
          </w:p>
        </w:tc>
        <w:tc>
          <w:tcPr>
            <w:tcW w:w="2918" w:type="dxa"/>
            <w:noWrap w:val="0"/>
            <w:vAlign w:val="center"/>
          </w:tcPr>
          <w:p w14:paraId="117D3E19">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i w:val="0"/>
                <w:iCs w:val="0"/>
                <w:caps w:val="0"/>
                <w:color w:val="auto"/>
                <w:spacing w:val="0"/>
                <w:sz w:val="21"/>
                <w:szCs w:val="21"/>
                <w:highlight w:val="none"/>
                <w:lang w:val="en-US" w:eastAsia="zh-CN"/>
              </w:rPr>
              <w:t>现场核查百度或高德地图实际距离</w:t>
            </w:r>
          </w:p>
        </w:tc>
        <w:tc>
          <w:tcPr>
            <w:tcW w:w="1374" w:type="dxa"/>
            <w:noWrap w:val="0"/>
            <w:vAlign w:val="center"/>
          </w:tcPr>
          <w:p w14:paraId="2A4F1140">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距离：</w:t>
            </w:r>
          </w:p>
          <w:p w14:paraId="1D4F658C">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u w:val="singl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1"/>
                <w:szCs w:val="21"/>
                <w:highlight w:val="none"/>
                <w:u w:val="none"/>
                <w:lang w:val="zh-CN" w:eastAsia="zh-CN" w:bidi="zh-CN"/>
              </w:rPr>
              <w:t>公里</w:t>
            </w:r>
          </w:p>
          <w:p w14:paraId="3CD3347B">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口符合</w:t>
            </w:r>
          </w:p>
          <w:p w14:paraId="2392CC62">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口不符合</w:t>
            </w:r>
          </w:p>
        </w:tc>
      </w:tr>
      <w:tr w14:paraId="27B4F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1" w:hRule="atLeast"/>
          <w:jc w:val="center"/>
        </w:trPr>
        <w:tc>
          <w:tcPr>
            <w:tcW w:w="819" w:type="dxa"/>
            <w:noWrap w:val="0"/>
            <w:vAlign w:val="center"/>
          </w:tcPr>
          <w:p w14:paraId="1A4681ED">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t>8</w:t>
            </w:r>
          </w:p>
        </w:tc>
        <w:tc>
          <w:tcPr>
            <w:tcW w:w="4783" w:type="dxa"/>
            <w:noWrap w:val="0"/>
            <w:vAlign w:val="center"/>
          </w:tcPr>
          <w:p w14:paraId="3FC7E543">
            <w:pPr>
              <w:keepNext w:val="0"/>
              <w:keepLines w:val="0"/>
              <w:pageBreakBefore w:val="0"/>
              <w:widowControl w:val="0"/>
              <w:kinsoku/>
              <w:wordWrap/>
              <w:overflowPunct/>
              <w:topLinePunct w:val="0"/>
              <w:autoSpaceDE w:val="0"/>
              <w:autoSpaceDN w:val="0"/>
              <w:bidi w:val="0"/>
              <w:adjustRightInd/>
              <w:snapToGrid w:val="0"/>
              <w:spacing w:before="0" w:line="560" w:lineRule="exact"/>
              <w:ind w:right="0" w:rightChars="0"/>
              <w:jc w:val="center"/>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服务于本项目的固定工作人员不低于5名</w:t>
            </w:r>
          </w:p>
        </w:tc>
        <w:tc>
          <w:tcPr>
            <w:tcW w:w="2918" w:type="dxa"/>
            <w:noWrap w:val="0"/>
            <w:vAlign w:val="center"/>
          </w:tcPr>
          <w:p w14:paraId="1DE8B0E5">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default"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现场核查</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人员</w:t>
            </w: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社保证明</w:t>
            </w:r>
            <w:r>
              <w:rPr>
                <w:rFonts w:hint="eastAsia" w:asciiTheme="minorEastAsia" w:hAnsiTheme="minorEastAsia" w:eastAsiaTheme="minorEastAsia" w:cstheme="minorEastAsia"/>
                <w:i w:val="0"/>
                <w:iCs w:val="0"/>
                <w:caps w:val="0"/>
                <w:color w:val="auto"/>
                <w:spacing w:val="0"/>
                <w:sz w:val="21"/>
                <w:szCs w:val="21"/>
                <w:highlight w:val="none"/>
              </w:rPr>
              <w:t>（</w:t>
            </w:r>
            <w:r>
              <w:rPr>
                <w:rFonts w:hint="eastAsia" w:asciiTheme="minorEastAsia" w:hAnsiTheme="minorEastAsia" w:eastAsiaTheme="minorEastAsia" w:cstheme="minorEastAsia"/>
                <w:i w:val="0"/>
                <w:iCs w:val="0"/>
                <w:caps w:val="0"/>
                <w:color w:val="auto"/>
                <w:spacing w:val="0"/>
                <w:sz w:val="21"/>
                <w:szCs w:val="21"/>
                <w:highlight w:val="none"/>
                <w:lang w:val="en-US" w:eastAsia="zh-CN"/>
              </w:rPr>
              <w:t>提供服务于本项目的固定工作人员姓名、身份证号、联系方式，投标单位报名截止时间前为其缴纳的近期社保，有效健康证明）</w:t>
            </w:r>
          </w:p>
        </w:tc>
        <w:tc>
          <w:tcPr>
            <w:tcW w:w="1374" w:type="dxa"/>
            <w:noWrap w:val="0"/>
            <w:vAlign w:val="center"/>
          </w:tcPr>
          <w:p w14:paraId="215D55D1">
            <w:pPr>
              <w:keepNext w:val="0"/>
              <w:keepLines w:val="0"/>
              <w:pageBreakBefore w:val="0"/>
              <w:widowControl w:val="0"/>
              <w:kinsoku/>
              <w:wordWrap/>
              <w:overflowPunct/>
              <w:topLinePunct w:val="0"/>
              <w:autoSpaceDE w:val="0"/>
              <w:autoSpaceDN w:val="0"/>
              <w:bidi w:val="0"/>
              <w:adjustRightInd/>
              <w:snapToGrid w:val="0"/>
              <w:spacing w:before="0" w:line="560" w:lineRule="exact"/>
              <w:ind w:left="945" w:leftChars="50" w:right="0" w:rightChars="0" w:hanging="840" w:hangingChars="40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实际人数：</w:t>
            </w:r>
          </w:p>
          <w:p w14:paraId="7C99950E">
            <w:pPr>
              <w:keepNext w:val="0"/>
              <w:keepLines w:val="0"/>
              <w:pageBreakBefore w:val="0"/>
              <w:widowControl w:val="0"/>
              <w:kinsoku/>
              <w:wordWrap/>
              <w:overflowPunct/>
              <w:topLinePunct w:val="0"/>
              <w:autoSpaceDE w:val="0"/>
              <w:autoSpaceDN w:val="0"/>
              <w:bidi w:val="0"/>
              <w:adjustRightInd/>
              <w:snapToGrid w:val="0"/>
              <w:spacing w:before="0" w:line="560" w:lineRule="exact"/>
              <w:ind w:left="945" w:leftChars="50" w:right="0" w:rightChars="0" w:hanging="840" w:hangingChars="40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i w:val="0"/>
                <w:iCs w:val="0"/>
                <w:color w:val="auto"/>
                <w:spacing w:val="0"/>
                <w:kern w:val="2"/>
                <w:sz w:val="21"/>
                <w:szCs w:val="21"/>
                <w:highlight w:val="none"/>
                <w:u w:val="single"/>
                <w:lang w:val="en-US" w:eastAsia="zh-CN" w:bidi="zh-CN"/>
              </w:rPr>
              <w:t xml:space="preserve">        </w:t>
            </w:r>
            <w:r>
              <w:rPr>
                <w:rFonts w:hint="eastAsia" w:asciiTheme="minorEastAsia" w:hAnsiTheme="minorEastAsia" w:eastAsiaTheme="minorEastAsia" w:cstheme="minorEastAsia"/>
                <w:i w:val="0"/>
                <w:iCs w:val="0"/>
                <w:color w:val="auto"/>
                <w:spacing w:val="0"/>
                <w:kern w:val="2"/>
                <w:sz w:val="21"/>
                <w:szCs w:val="21"/>
                <w:highlight w:val="none"/>
                <w:u w:val="none"/>
                <w:lang w:val="en-US" w:eastAsia="zh-CN" w:bidi="zh-CN"/>
              </w:rPr>
              <w:t>人</w:t>
            </w:r>
          </w:p>
          <w:p w14:paraId="336E7B0C">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口符合</w:t>
            </w:r>
          </w:p>
          <w:p w14:paraId="778865D3">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口不符合</w:t>
            </w:r>
          </w:p>
        </w:tc>
      </w:tr>
      <w:tr w14:paraId="7D97F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jc w:val="center"/>
        </w:trPr>
        <w:tc>
          <w:tcPr>
            <w:tcW w:w="819" w:type="dxa"/>
            <w:noWrap w:val="0"/>
            <w:vAlign w:val="center"/>
          </w:tcPr>
          <w:p w14:paraId="63816ECE">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t>9</w:t>
            </w:r>
          </w:p>
        </w:tc>
        <w:tc>
          <w:tcPr>
            <w:tcW w:w="4783" w:type="dxa"/>
            <w:noWrap w:val="0"/>
            <w:vAlign w:val="center"/>
          </w:tcPr>
          <w:p w14:paraId="39280C68">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b w:val="0"/>
                <w:bCs w:val="0"/>
                <w:color w:val="auto"/>
                <w:sz w:val="21"/>
                <w:szCs w:val="21"/>
                <w:highlight w:val="none"/>
                <w:shd w:val="clear" w:color="auto" w:fill="auto"/>
                <w:lang w:val="en-US" w:eastAsia="zh-CN"/>
              </w:rPr>
            </w:pPr>
            <w:r>
              <w:rPr>
                <w:rFonts w:hint="eastAsia" w:asciiTheme="minorEastAsia" w:hAnsiTheme="minorEastAsia" w:eastAsiaTheme="minorEastAsia" w:cstheme="minorEastAsia"/>
                <w:b w:val="0"/>
                <w:bCs w:val="0"/>
                <w:color w:val="auto"/>
                <w:sz w:val="21"/>
                <w:szCs w:val="21"/>
                <w:highlight w:val="none"/>
                <w:shd w:val="clear" w:color="auto" w:fill="auto"/>
                <w:lang w:val="en-US" w:eastAsia="zh-CN"/>
              </w:rPr>
              <w:t>经营场地25米内应无粉尘、垃圾、虫害等</w:t>
            </w:r>
          </w:p>
          <w:p w14:paraId="358FA587">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default"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b w:val="0"/>
                <w:bCs w:val="0"/>
                <w:color w:val="auto"/>
                <w:sz w:val="21"/>
                <w:szCs w:val="21"/>
                <w:highlight w:val="none"/>
                <w:shd w:val="clear" w:color="auto" w:fill="auto"/>
                <w:lang w:val="en-US" w:eastAsia="zh-CN"/>
              </w:rPr>
              <w:t>污染源。</w:t>
            </w:r>
          </w:p>
        </w:tc>
        <w:tc>
          <w:tcPr>
            <w:tcW w:w="2918" w:type="dxa"/>
            <w:noWrap w:val="0"/>
            <w:vAlign w:val="center"/>
          </w:tcPr>
          <w:p w14:paraId="7730E050">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center"/>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现场核查、测量</w:t>
            </w:r>
          </w:p>
        </w:tc>
        <w:tc>
          <w:tcPr>
            <w:tcW w:w="1374" w:type="dxa"/>
            <w:noWrap w:val="0"/>
            <w:vAlign w:val="center"/>
          </w:tcPr>
          <w:p w14:paraId="5B4CCBA6">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口符合</w:t>
            </w:r>
          </w:p>
          <w:p w14:paraId="58F7F08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口不符合</w:t>
            </w:r>
          </w:p>
        </w:tc>
      </w:tr>
      <w:tr w14:paraId="4A442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0" w:hRule="atLeast"/>
          <w:jc w:val="center"/>
        </w:trPr>
        <w:tc>
          <w:tcPr>
            <w:tcW w:w="819" w:type="dxa"/>
            <w:noWrap w:val="0"/>
            <w:vAlign w:val="center"/>
          </w:tcPr>
          <w:p w14:paraId="096A39DC">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default" w:asciiTheme="minorEastAsia" w:hAnsiTheme="minorEastAsia" w:eastAsiaTheme="minorEastAsia" w:cstheme="minorEastAsia"/>
                <w:b/>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t>10</w:t>
            </w:r>
          </w:p>
        </w:tc>
        <w:tc>
          <w:tcPr>
            <w:tcW w:w="4783" w:type="dxa"/>
            <w:noWrap w:val="0"/>
            <w:vAlign w:val="center"/>
          </w:tcPr>
          <w:p w14:paraId="4A9BD49A">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配备检测室</w:t>
            </w:r>
          </w:p>
          <w:p w14:paraId="4800BF02">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b w:val="0"/>
                <w:bCs w:val="0"/>
                <w:i w:val="0"/>
                <w:iCs w:val="0"/>
                <w:color w:val="FF0000"/>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（1）配备与检测能力、检测数量相适应的专职检测人员，</w:t>
            </w:r>
            <w:r>
              <w:rPr>
                <w:rFonts w:hint="eastAsia" w:asciiTheme="minorEastAsia" w:hAnsiTheme="minorEastAsia" w:eastAsiaTheme="minorEastAsia" w:cstheme="minorEastAsia"/>
                <w:b w:val="0"/>
                <w:bCs w:val="0"/>
                <w:i w:val="0"/>
                <w:iCs w:val="0"/>
                <w:color w:val="auto"/>
                <w:spacing w:val="0"/>
                <w:kern w:val="2"/>
                <w:sz w:val="21"/>
                <w:szCs w:val="21"/>
                <w:highlight w:val="none"/>
                <w:lang w:val="en-US" w:eastAsia="zh-CN" w:bidi="zh-CN"/>
              </w:rPr>
              <w:t>检测人员应经过培训考核合格后持证上岗。</w:t>
            </w:r>
          </w:p>
          <w:p w14:paraId="1C46D954">
            <w:pPr>
              <w:keepNext w:val="0"/>
              <w:keepLines w:val="0"/>
              <w:pageBreakBefore w:val="0"/>
              <w:widowControl w:val="0"/>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default"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（2）</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检测仪器及设备能满足相应的检验要求，并具有合同或者发票。</w:t>
            </w:r>
          </w:p>
          <w:p w14:paraId="46D2CE51">
            <w:pPr>
              <w:keepNext w:val="0"/>
              <w:keepLines w:val="0"/>
              <w:pageBreakBefore w:val="0"/>
              <w:widowControl w:val="0"/>
              <w:numPr>
                <w:ilvl w:val="0"/>
                <w:numId w:val="0"/>
              </w:numPr>
              <w:kinsoku/>
              <w:wordWrap/>
              <w:overflowPunct/>
              <w:topLinePunct w:val="0"/>
              <w:autoSpaceDE w:val="0"/>
              <w:autoSpaceDN w:val="0"/>
              <w:bidi w:val="0"/>
              <w:adjustRightInd/>
              <w:snapToGrid w:val="0"/>
              <w:spacing w:before="0" w:line="560" w:lineRule="exact"/>
              <w:ind w:left="239" w:leftChars="114"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b/>
                <w:bCs/>
                <w:i w:val="0"/>
                <w:iCs w:val="0"/>
                <w:caps w:val="0"/>
                <w:color w:val="auto"/>
                <w:spacing w:val="0"/>
                <w:sz w:val="21"/>
                <w:szCs w:val="21"/>
                <w:highlight w:val="none"/>
                <w:u w:val="single"/>
                <w:lang w:val="en-US" w:eastAsia="zh-CN"/>
              </w:rPr>
              <w:t>注：</w:t>
            </w:r>
            <w:r>
              <w:rPr>
                <w:rFonts w:hint="eastAsia" w:asciiTheme="minorEastAsia" w:hAnsiTheme="minorEastAsia" w:eastAsiaTheme="minorEastAsia" w:cstheme="minorEastAsia"/>
                <w:b w:val="0"/>
                <w:bCs w:val="0"/>
                <w:i w:val="0"/>
                <w:iCs w:val="0"/>
                <w:caps w:val="0"/>
                <w:color w:val="auto"/>
                <w:spacing w:val="0"/>
                <w:sz w:val="21"/>
                <w:szCs w:val="21"/>
                <w:highlight w:val="none"/>
                <w:u w:val="single"/>
                <w:lang w:val="en-US" w:eastAsia="zh-CN"/>
              </w:rPr>
              <w:t>提供检测设备的合同或发票、检测设备的彩色图片及详细介绍、系统截图、检测人员上岗证书及承诺函（承诺中标后及时上传检测数据至</w:t>
            </w:r>
            <w:r>
              <w:rPr>
                <w:rFonts w:hint="eastAsia" w:asciiTheme="minorEastAsia" w:hAnsiTheme="minorEastAsia" w:eastAsiaTheme="minorEastAsia" w:cstheme="minorEastAsia"/>
                <w:b w:val="0"/>
                <w:bCs w:val="0"/>
                <w:i w:val="0"/>
                <w:iCs w:val="0"/>
                <w:caps w:val="0"/>
                <w:color w:val="auto"/>
                <w:spacing w:val="0"/>
                <w:kern w:val="0"/>
                <w:sz w:val="21"/>
                <w:szCs w:val="21"/>
                <w:highlight w:val="none"/>
                <w:u w:val="single"/>
                <w:lang w:val="en-US" w:eastAsia="zh-CN" w:bidi="ar"/>
              </w:rPr>
              <w:t>苏州市级监局平台）</w:t>
            </w:r>
          </w:p>
        </w:tc>
        <w:tc>
          <w:tcPr>
            <w:tcW w:w="2918" w:type="dxa"/>
            <w:noWrap w:val="0"/>
            <w:vAlign w:val="center"/>
          </w:tcPr>
          <w:p w14:paraId="2E1F9FFC">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现场</w:t>
            </w: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核查检测设备、检测</w:t>
            </w:r>
          </w:p>
          <w:p w14:paraId="109B8916">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en-US" w:eastAsia="zh-CN" w:bidi="zh-CN"/>
              </w:rPr>
              <w:t>人员及承诺函等</w:t>
            </w:r>
          </w:p>
        </w:tc>
        <w:tc>
          <w:tcPr>
            <w:tcW w:w="1374" w:type="dxa"/>
            <w:noWrap w:val="0"/>
            <w:vAlign w:val="center"/>
          </w:tcPr>
          <w:p w14:paraId="7120132E">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口符合</w:t>
            </w:r>
          </w:p>
          <w:p w14:paraId="50EBDACD">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口不符合</w:t>
            </w:r>
          </w:p>
        </w:tc>
      </w:tr>
      <w:tr w14:paraId="0AD3E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2" w:hRule="atLeast"/>
          <w:jc w:val="center"/>
        </w:trPr>
        <w:tc>
          <w:tcPr>
            <w:tcW w:w="819" w:type="dxa"/>
            <w:noWrap w:val="0"/>
            <w:vAlign w:val="center"/>
          </w:tcPr>
          <w:p w14:paraId="10AE5D81">
            <w:pPr>
              <w:keepNext w:val="0"/>
              <w:keepLines w:val="0"/>
              <w:pageBreakBefore w:val="0"/>
              <w:widowControl w:val="0"/>
              <w:kinsoku/>
              <w:wordWrap/>
              <w:overflowPunct/>
              <w:topLinePunct w:val="0"/>
              <w:autoSpaceDE w:val="0"/>
              <w:autoSpaceDN w:val="0"/>
              <w:bidi w:val="0"/>
              <w:adjustRightInd w:val="0"/>
              <w:snapToGrid w:val="0"/>
              <w:spacing w:before="0" w:line="560" w:lineRule="exact"/>
              <w:ind w:left="0" w:leftChars="0" w:right="0" w:rightChars="0" w:firstLine="0" w:firstLineChars="0"/>
              <w:jc w:val="center"/>
              <w:textAlignment w:val="auto"/>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pPr>
            <w:r>
              <w:rPr>
                <w:rFonts w:hint="eastAsia" w:asciiTheme="minorEastAsia" w:hAnsiTheme="minorEastAsia" w:eastAsiaTheme="minorEastAsia" w:cstheme="minorEastAsia"/>
                <w:b/>
                <w:i w:val="0"/>
                <w:iCs w:val="0"/>
                <w:color w:val="auto"/>
                <w:spacing w:val="0"/>
                <w:kern w:val="2"/>
                <w:sz w:val="21"/>
                <w:szCs w:val="21"/>
                <w:highlight w:val="none"/>
                <w:lang w:val="en-US" w:eastAsia="zh-CN" w:bidi="zh-CN"/>
              </w:rPr>
              <w:t>11</w:t>
            </w:r>
          </w:p>
        </w:tc>
        <w:tc>
          <w:tcPr>
            <w:tcW w:w="4783" w:type="dxa"/>
            <w:noWrap w:val="0"/>
            <w:vAlign w:val="center"/>
          </w:tcPr>
          <w:p w14:paraId="6DFE53EC">
            <w:pPr>
              <w:keepNext w:val="0"/>
              <w:keepLines w:val="0"/>
              <w:pageBreakBefore w:val="0"/>
              <w:widowControl w:val="0"/>
              <w:kinsoku/>
              <w:wordWrap/>
              <w:overflowPunct/>
              <w:topLinePunct w:val="0"/>
              <w:autoSpaceDE w:val="0"/>
              <w:autoSpaceDN w:val="0"/>
              <w:bidi w:val="0"/>
              <w:adjustRightInd/>
              <w:snapToGrid w:val="0"/>
              <w:spacing w:before="0" w:line="560" w:lineRule="exact"/>
              <w:ind w:right="0" w:rightChars="0"/>
              <w:jc w:val="center"/>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b w:val="0"/>
                <w:bCs w:val="0"/>
                <w:i w:val="0"/>
                <w:iCs w:val="0"/>
                <w:caps w:val="0"/>
                <w:color w:val="auto"/>
                <w:spacing w:val="0"/>
                <w:sz w:val="21"/>
                <w:szCs w:val="21"/>
                <w:highlight w:val="none"/>
                <w:lang w:val="en-US" w:eastAsia="zh-CN"/>
              </w:rPr>
              <w:t>供应商需建立并执行食品安全管理制度</w:t>
            </w:r>
          </w:p>
        </w:tc>
        <w:tc>
          <w:tcPr>
            <w:tcW w:w="2918" w:type="dxa"/>
            <w:noWrap w:val="0"/>
            <w:vAlign w:val="center"/>
          </w:tcPr>
          <w:p w14:paraId="6E71E318">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aps w:val="0"/>
                <w:color w:val="auto"/>
                <w:spacing w:val="0"/>
                <w:kern w:val="0"/>
                <w:sz w:val="21"/>
                <w:szCs w:val="21"/>
                <w:highlight w:val="none"/>
                <w:lang w:val="en-US" w:eastAsia="zh-CN" w:bidi="ar"/>
              </w:rPr>
              <w:t>现场核查食品安全风险日管控、周排查、月调度工作制度，从业人员健康管理制度，从业人员培训管理制度，加工经营场所环境卫生管理制度，设施设备卫生管理制度，设备维修保养制度，岗位职责制度，进货查验记录制度，进货入库管理制度，快检操作流程制度，供应商管理制度，食品溯源管理制度，快检不合格样品处置流程制度，问题食品召回处置制度，销售记录制度，突发事件应急处理制度等</w:t>
            </w:r>
          </w:p>
        </w:tc>
        <w:tc>
          <w:tcPr>
            <w:tcW w:w="1374" w:type="dxa"/>
            <w:noWrap w:val="0"/>
            <w:vAlign w:val="center"/>
          </w:tcPr>
          <w:p w14:paraId="42EC75DB">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口符合</w:t>
            </w:r>
          </w:p>
          <w:p w14:paraId="5121D8AE">
            <w:pPr>
              <w:keepNext w:val="0"/>
              <w:keepLines w:val="0"/>
              <w:pageBreakBefore w:val="0"/>
              <w:widowControl w:val="0"/>
              <w:kinsoku/>
              <w:wordWrap/>
              <w:overflowPunct/>
              <w:topLinePunct w:val="0"/>
              <w:autoSpaceDE w:val="0"/>
              <w:autoSpaceDN w:val="0"/>
              <w:bidi w:val="0"/>
              <w:adjustRightInd/>
              <w:snapToGrid w:val="0"/>
              <w:spacing w:before="0" w:line="560" w:lineRule="exact"/>
              <w:ind w:left="105" w:leftChars="50" w:right="0" w:rightChars="0" w:firstLine="0" w:firstLineChars="0"/>
              <w:jc w:val="left"/>
              <w:textAlignment w:val="auto"/>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pPr>
            <w:r>
              <w:rPr>
                <w:rFonts w:hint="eastAsia" w:asciiTheme="minorEastAsia" w:hAnsiTheme="minorEastAsia" w:eastAsiaTheme="minorEastAsia" w:cstheme="minorEastAsia"/>
                <w:i w:val="0"/>
                <w:iCs w:val="0"/>
                <w:color w:val="auto"/>
                <w:spacing w:val="0"/>
                <w:kern w:val="2"/>
                <w:sz w:val="21"/>
                <w:szCs w:val="21"/>
                <w:highlight w:val="none"/>
                <w:lang w:val="zh-CN" w:eastAsia="zh-CN" w:bidi="zh-CN"/>
              </w:rPr>
              <w:t>口不符合</w:t>
            </w:r>
          </w:p>
        </w:tc>
      </w:tr>
    </w:tbl>
    <w:p w14:paraId="5FA6B0F3">
      <w:pPr>
        <w:keepNext w:val="0"/>
        <w:keepLines w:val="0"/>
        <w:pageBreakBefore w:val="0"/>
        <w:widowControl w:val="0"/>
        <w:kinsoku/>
        <w:wordWrap/>
        <w:overflowPunct/>
        <w:topLinePunct w:val="0"/>
        <w:autoSpaceDE w:val="0"/>
        <w:autoSpaceDN w:val="0"/>
        <w:bidi w:val="0"/>
        <w:adjustRightInd/>
        <w:snapToGrid w:val="0"/>
        <w:spacing w:before="0" w:line="400" w:lineRule="exact"/>
        <w:ind w:left="480" w:right="0" w:rightChars="0" w:hanging="422" w:hangingChars="200"/>
        <w:jc w:val="both"/>
        <w:textAlignment w:val="auto"/>
        <w:rPr>
          <w:rFonts w:hint="eastAsia" w:asciiTheme="minorEastAsia" w:hAnsiTheme="minorEastAsia" w:eastAsiaTheme="minorEastAsia" w:cstheme="minorEastAsia"/>
          <w:b w:val="0"/>
          <w:bCs w:val="0"/>
          <w:i w:val="0"/>
          <w:iCs w:val="0"/>
          <w:color w:val="auto"/>
          <w:spacing w:val="0"/>
          <w:kern w:val="2"/>
          <w:sz w:val="21"/>
          <w:szCs w:val="21"/>
          <w:highlight w:val="none"/>
          <w:u w:val="single"/>
          <w:lang w:val="en-US" w:eastAsia="zh-CN" w:bidi="zh-CN"/>
        </w:rPr>
      </w:pPr>
      <w:r>
        <w:rPr>
          <w:rFonts w:hint="eastAsia" w:asciiTheme="minorEastAsia" w:hAnsiTheme="minorEastAsia" w:eastAsiaTheme="minorEastAsia" w:cstheme="minorEastAsia"/>
          <w:b/>
          <w:bCs/>
          <w:i w:val="0"/>
          <w:iCs w:val="0"/>
          <w:color w:val="auto"/>
          <w:spacing w:val="0"/>
          <w:sz w:val="21"/>
          <w:szCs w:val="21"/>
          <w:highlight w:val="none"/>
          <w:u w:val="single"/>
          <w:lang w:val="en-US" w:eastAsia="zh-CN"/>
        </w:rPr>
        <w:t>注：</w:t>
      </w:r>
      <w:r>
        <w:rPr>
          <w:rFonts w:hint="eastAsia" w:asciiTheme="minorEastAsia" w:hAnsiTheme="minorEastAsia" w:eastAsiaTheme="minorEastAsia" w:cstheme="minorEastAsia"/>
          <w:b w:val="0"/>
          <w:bCs w:val="0"/>
          <w:i w:val="0"/>
          <w:iCs w:val="0"/>
          <w:color w:val="auto"/>
          <w:spacing w:val="0"/>
          <w:sz w:val="21"/>
          <w:szCs w:val="21"/>
          <w:highlight w:val="none"/>
          <w:u w:val="single"/>
          <w:lang w:val="en-US" w:eastAsia="zh-CN"/>
        </w:rPr>
        <w:t>1.</w:t>
      </w:r>
      <w:r>
        <w:rPr>
          <w:rFonts w:hint="eastAsia" w:asciiTheme="minorEastAsia" w:hAnsiTheme="minorEastAsia" w:eastAsiaTheme="minorEastAsia" w:cstheme="minorEastAsia"/>
          <w:b w:val="0"/>
          <w:bCs w:val="0"/>
          <w:i w:val="0"/>
          <w:iCs w:val="0"/>
          <w:color w:val="auto"/>
          <w:spacing w:val="0"/>
          <w:kern w:val="2"/>
          <w:sz w:val="21"/>
          <w:szCs w:val="21"/>
          <w:highlight w:val="none"/>
          <w:u w:val="single"/>
          <w:lang w:val="en-US" w:eastAsia="zh-CN" w:bidi="zh-CN"/>
        </w:rPr>
        <w:t>以上内容涉及后期项目评标，若投标文件中的数据低于现场查勘结论，则以投标文件为准；若投标文件中的数据高于现场查勘结论，则以现场查勘结论为准。（投标单位务必一次性填报并提供全部材料，后续补充材料在评标时将不被接受。）</w:t>
      </w:r>
    </w:p>
    <w:p w14:paraId="639257B1">
      <w:pPr>
        <w:keepNext w:val="0"/>
        <w:keepLines w:val="0"/>
        <w:pageBreakBefore w:val="0"/>
        <w:widowControl w:val="0"/>
        <w:kinsoku/>
        <w:wordWrap/>
        <w:overflowPunct/>
        <w:topLinePunct w:val="0"/>
        <w:autoSpaceDE w:val="0"/>
        <w:autoSpaceDN w:val="0"/>
        <w:bidi w:val="0"/>
        <w:adjustRightInd/>
        <w:snapToGrid w:val="0"/>
        <w:spacing w:before="0" w:line="400" w:lineRule="exact"/>
        <w:ind w:right="0" w:rightChars="0" w:firstLine="420" w:firstLineChars="200"/>
        <w:jc w:val="both"/>
        <w:textAlignment w:val="auto"/>
        <w:rPr>
          <w:rFonts w:hint="eastAsia" w:asciiTheme="minorEastAsia" w:hAnsiTheme="minorEastAsia" w:eastAsiaTheme="minorEastAsia" w:cstheme="minorEastAsia"/>
          <w:b w:val="0"/>
          <w:bCs w:val="0"/>
          <w:i w:val="0"/>
          <w:iCs w:val="0"/>
          <w:color w:val="auto"/>
          <w:spacing w:val="0"/>
          <w:kern w:val="2"/>
          <w:sz w:val="21"/>
          <w:szCs w:val="21"/>
          <w:highlight w:val="none"/>
          <w:u w:val="single"/>
          <w:lang w:val="en-US" w:eastAsia="zh-CN" w:bidi="zh-CN"/>
        </w:rPr>
      </w:pPr>
      <w:r>
        <w:rPr>
          <w:rFonts w:hint="eastAsia" w:asciiTheme="minorEastAsia" w:hAnsiTheme="minorEastAsia" w:eastAsiaTheme="minorEastAsia" w:cstheme="minorEastAsia"/>
          <w:b w:val="0"/>
          <w:bCs w:val="0"/>
          <w:i w:val="0"/>
          <w:iCs w:val="0"/>
          <w:color w:val="auto"/>
          <w:spacing w:val="0"/>
          <w:kern w:val="2"/>
          <w:sz w:val="21"/>
          <w:szCs w:val="21"/>
          <w:highlight w:val="none"/>
          <w:u w:val="single"/>
          <w:lang w:val="en-US" w:eastAsia="zh-CN" w:bidi="zh-CN"/>
        </w:rPr>
        <w:t>2.涉及以上的项目，若预审时发现任意一项不完整，则认定为预审不通过。</w:t>
      </w:r>
    </w:p>
    <w:p w14:paraId="4AEDE2C5">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1"/>
          <w:szCs w:val="21"/>
          <w:highlight w:val="none"/>
        </w:rPr>
      </w:pPr>
      <w:r>
        <w:rPr>
          <w:rFonts w:hint="eastAsia" w:asciiTheme="minorEastAsia" w:hAnsiTheme="minorEastAsia" w:eastAsiaTheme="minorEastAsia" w:cstheme="minorEastAsia"/>
          <w:i w:val="0"/>
          <w:iCs w:val="0"/>
          <w:color w:val="auto"/>
          <w:spacing w:val="0"/>
          <w:sz w:val="21"/>
          <w:szCs w:val="21"/>
          <w:highlight w:val="none"/>
          <w:lang w:val="en-US" w:eastAsia="zh-CN"/>
        </w:rPr>
        <w:t>审查</w:t>
      </w:r>
      <w:r>
        <w:rPr>
          <w:rFonts w:hint="eastAsia" w:asciiTheme="minorEastAsia" w:hAnsiTheme="minorEastAsia" w:eastAsiaTheme="minorEastAsia" w:cstheme="minorEastAsia"/>
          <w:i w:val="0"/>
          <w:iCs w:val="0"/>
          <w:color w:val="auto"/>
          <w:spacing w:val="0"/>
          <w:sz w:val="21"/>
          <w:szCs w:val="21"/>
          <w:highlight w:val="none"/>
        </w:rPr>
        <w:t>小组全体成员签字：</w:t>
      </w:r>
    </w:p>
    <w:p w14:paraId="6620550C">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Theme="minorEastAsia" w:hAnsiTheme="minorEastAsia" w:eastAsiaTheme="minorEastAsia" w:cstheme="minorEastAsia"/>
          <w:i w:val="0"/>
          <w:iCs w:val="0"/>
          <w:color w:val="auto"/>
          <w:spacing w:val="0"/>
          <w:sz w:val="21"/>
          <w:szCs w:val="21"/>
          <w:highlight w:val="none"/>
          <w:lang w:eastAsia="zh-CN"/>
        </w:rPr>
      </w:pPr>
      <w:r>
        <w:rPr>
          <w:rFonts w:hint="eastAsia" w:asciiTheme="minorEastAsia" w:hAnsiTheme="minorEastAsia" w:eastAsiaTheme="minorEastAsia" w:cstheme="minorEastAsia"/>
          <w:i w:val="0"/>
          <w:iCs w:val="0"/>
          <w:color w:val="auto"/>
          <w:spacing w:val="0"/>
          <w:sz w:val="21"/>
          <w:szCs w:val="21"/>
          <w:highlight w:val="none"/>
        </w:rPr>
        <w:t>投标单位签字</w:t>
      </w:r>
      <w:r>
        <w:rPr>
          <w:rFonts w:hint="eastAsia" w:asciiTheme="minorEastAsia" w:hAnsiTheme="minorEastAsia" w:eastAsiaTheme="minorEastAsia" w:cstheme="minorEastAsia"/>
          <w:i w:val="0"/>
          <w:iCs w:val="0"/>
          <w:color w:val="auto"/>
          <w:spacing w:val="0"/>
          <w:sz w:val="21"/>
          <w:szCs w:val="21"/>
          <w:highlight w:val="none"/>
          <w:lang w:eastAsia="zh-CN"/>
        </w:rPr>
        <w:t>：</w:t>
      </w:r>
    </w:p>
    <w:p w14:paraId="2A65C29F">
      <w:pPr>
        <w:pStyle w:val="2"/>
        <w:keepNext w:val="0"/>
        <w:keepLines w:val="0"/>
        <w:pageBreakBefore w:val="0"/>
        <w:widowControl w:val="0"/>
        <w:kinsoku/>
        <w:wordWrap/>
        <w:overflowPunct/>
        <w:topLinePunct w:val="0"/>
        <w:autoSpaceDE w:val="0"/>
        <w:autoSpaceDN w:val="0"/>
        <w:bidi w:val="0"/>
        <w:adjustRightInd w:val="0"/>
        <w:snapToGrid w:val="0"/>
        <w:spacing w:line="560" w:lineRule="exact"/>
        <w:ind w:right="0" w:rightChars="0"/>
        <w:jc w:val="both"/>
        <w:textAlignment w:val="auto"/>
        <w:rPr>
          <w:rFonts w:hint="eastAsia" w:ascii="Calibri" w:hAnsi="Calibri" w:eastAsia="宋体" w:cs="Times New Roman"/>
          <w:kern w:val="2"/>
          <w:sz w:val="44"/>
          <w:szCs w:val="44"/>
          <w:highlight w:val="none"/>
          <w:lang w:val="en-US" w:eastAsia="zh-CN" w:bidi="ar-SA"/>
        </w:rPr>
      </w:pPr>
      <w:r>
        <w:rPr>
          <w:rFonts w:hint="eastAsia" w:asciiTheme="minorEastAsia" w:hAnsiTheme="minorEastAsia" w:eastAsiaTheme="minorEastAsia" w:cstheme="minorEastAsia"/>
          <w:i w:val="0"/>
          <w:iCs w:val="0"/>
          <w:color w:val="auto"/>
          <w:spacing w:val="0"/>
          <w:sz w:val="21"/>
          <w:szCs w:val="21"/>
          <w:highlight w:val="none"/>
        </w:rPr>
        <w:t>日期：</w:t>
      </w:r>
      <w:r>
        <w:rPr>
          <w:rFonts w:hint="eastAsia" w:asciiTheme="minorEastAsia" w:hAnsiTheme="minorEastAsia" w:eastAsiaTheme="minorEastAsia" w:cstheme="minorEastAsia"/>
          <w:i w:val="0"/>
          <w:iCs w:val="0"/>
          <w:color w:val="auto"/>
          <w:spacing w:val="0"/>
          <w:sz w:val="21"/>
          <w:szCs w:val="21"/>
          <w:highlight w:val="none"/>
          <w:lang w:val="en-US" w:eastAsia="zh-CN"/>
        </w:rPr>
        <w:t xml:space="preserve">    </w:t>
      </w:r>
      <w:r>
        <w:rPr>
          <w:rFonts w:hint="eastAsia" w:asciiTheme="minorEastAsia" w:hAnsiTheme="minorEastAsia" w:eastAsiaTheme="minorEastAsia" w:cstheme="minorEastAsia"/>
          <w:i w:val="0"/>
          <w:iCs w:val="0"/>
          <w:color w:val="auto"/>
          <w:spacing w:val="0"/>
          <w:sz w:val="21"/>
          <w:szCs w:val="21"/>
          <w:highlight w:val="none"/>
        </w:rPr>
        <w:t>年</w:t>
      </w:r>
      <w:r>
        <w:rPr>
          <w:rFonts w:hint="eastAsia" w:asciiTheme="minorEastAsia" w:hAnsiTheme="minorEastAsia" w:eastAsiaTheme="minorEastAsia" w:cstheme="minorEastAsia"/>
          <w:i w:val="0"/>
          <w:iCs w:val="0"/>
          <w:color w:val="auto"/>
          <w:spacing w:val="0"/>
          <w:sz w:val="21"/>
          <w:szCs w:val="21"/>
          <w:highlight w:val="none"/>
          <w:lang w:val="en-US" w:eastAsia="zh-CN"/>
        </w:rPr>
        <w:t xml:space="preserve">    </w:t>
      </w:r>
      <w:r>
        <w:rPr>
          <w:rFonts w:hint="eastAsia" w:asciiTheme="minorEastAsia" w:hAnsiTheme="minorEastAsia" w:eastAsiaTheme="minorEastAsia" w:cstheme="minorEastAsia"/>
          <w:i w:val="0"/>
          <w:iCs w:val="0"/>
          <w:color w:val="auto"/>
          <w:spacing w:val="0"/>
          <w:sz w:val="21"/>
          <w:szCs w:val="21"/>
          <w:highlight w:val="none"/>
        </w:rPr>
        <w:t>月</w:t>
      </w:r>
      <w:r>
        <w:rPr>
          <w:rFonts w:hint="eastAsia" w:asciiTheme="minorEastAsia" w:hAnsiTheme="minorEastAsia" w:eastAsiaTheme="minorEastAsia" w:cstheme="minorEastAsia"/>
          <w:i w:val="0"/>
          <w:iCs w:val="0"/>
          <w:color w:val="auto"/>
          <w:spacing w:val="0"/>
          <w:sz w:val="21"/>
          <w:szCs w:val="21"/>
          <w:highlight w:val="none"/>
          <w:lang w:val="en-US" w:eastAsia="zh-CN"/>
        </w:rPr>
        <w:t xml:space="preserve">    </w:t>
      </w:r>
      <w:r>
        <w:rPr>
          <w:rFonts w:hint="eastAsia" w:asciiTheme="minorEastAsia" w:hAnsiTheme="minorEastAsia" w:eastAsiaTheme="minorEastAsia" w:cstheme="minorEastAsia"/>
          <w:i w:val="0"/>
          <w:iCs w:val="0"/>
          <w:color w:val="auto"/>
          <w:spacing w:val="0"/>
          <w:sz w:val="21"/>
          <w:szCs w:val="21"/>
          <w:highlight w:val="none"/>
        </w:rPr>
        <w:t>日</w:t>
      </w:r>
    </w:p>
    <w:sectPr>
      <w:pgSz w:w="11906" w:h="16838"/>
      <w:pgMar w:top="1134" w:right="1134" w:bottom="1077"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6F4E4C"/>
    <w:rsid w:val="15BC05EB"/>
    <w:rsid w:val="3C6F6A09"/>
    <w:rsid w:val="3CA01523"/>
    <w:rsid w:val="490C63F0"/>
    <w:rsid w:val="62214B27"/>
    <w:rsid w:val="62910F15"/>
    <w:rsid w:val="64B56D5D"/>
    <w:rsid w:val="70C55F30"/>
    <w:rsid w:val="72E44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Normal (Web)"/>
    <w:basedOn w:val="1"/>
    <w:qFormat/>
    <w:uiPriority w:val="99"/>
    <w:pPr>
      <w:spacing w:beforeAutospacing="1" w:afterAutospacing="1"/>
      <w:jc w:val="left"/>
    </w:pPr>
    <w:rPr>
      <w:rFonts w:cs="Times New Roman"/>
      <w:kern w:val="0"/>
      <w:sz w:val="24"/>
    </w:rPr>
  </w:style>
  <w:style w:type="table" w:styleId="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段"/>
    <w:basedOn w:val="8"/>
    <w:next w:val="1"/>
    <w:qFormat/>
    <w:uiPriority w:val="0"/>
    <w:pPr>
      <w:autoSpaceDE w:val="0"/>
      <w:autoSpaceDN w:val="0"/>
      <w:ind w:firstLine="200" w:firstLineChars="200"/>
      <w:jc w:val="both"/>
    </w:pPr>
    <w:rPr>
      <w:rFonts w:ascii="宋体" w:hAnsi="Calibri" w:eastAsia="Times New Roman" w:cs="Times New Roman"/>
      <w:sz w:val="21"/>
      <w:szCs w:val="22"/>
      <w:lang w:val="en-US" w:eastAsia="zh-CN" w:bidi="ar-SA"/>
    </w:rPr>
  </w:style>
  <w:style w:type="paragraph" w:customStyle="1" w:styleId="8">
    <w:name w:val="正文_6"/>
    <w:qFormat/>
    <w:uiPriority w:val="0"/>
    <w:pPr>
      <w:widowControl w:val="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6185</Words>
  <Characters>6474</Characters>
  <Lines>0</Lines>
  <Paragraphs>0</Paragraphs>
  <TotalTime>0</TotalTime>
  <ScaleCrop>false</ScaleCrop>
  <LinksUpToDate>false</LinksUpToDate>
  <CharactersWithSpaces>6543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cy</dc:creator>
  <cp:lastModifiedBy>M.Y</cp:lastModifiedBy>
  <dcterms:modified xsi:type="dcterms:W3CDTF">2026-08-08T02:31:23Z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eyJoZGlkIjoiY2E2MGRlMWZlZjNmN2ExYWY0ZjcwYzNhNDM3ZmFjNzkiLCJ1c2VySWQiOiIxMTM1NTkxMjA3In0=</vt:lpwstr>
  </property>
  <property fmtid="{D5CDD505-2E9C-101B-9397-08002B2CF9AE}" pid="4" name="ICV">
    <vt:lpwstr>0E253085B248450A887EB803AD5C0015_12</vt:lpwstr>
  </property>
</Properties>
</file>