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B6296">
      <w:pPr>
        <w:spacing w:line="600" w:lineRule="exact"/>
        <w:jc w:val="right"/>
        <w:rPr>
          <w:rFonts w:hint="eastAsia"/>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32AC5839">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7F1C0D51">
      <w:pPr>
        <w:spacing w:line="460" w:lineRule="exact"/>
        <w:jc w:val="center"/>
        <w:rPr>
          <w:rFonts w:ascii="Times New Roman"/>
          <w:sz w:val="32"/>
          <w:szCs w:val="32"/>
        </w:rPr>
      </w:pPr>
    </w:p>
    <w:p w14:paraId="6BF46009">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〕苏教办复第</w:t>
      </w:r>
      <w:r>
        <w:rPr>
          <w:rFonts w:hint="eastAsia" w:ascii="仿宋" w:hAnsi="仿宋" w:eastAsia="仿宋" w:cs="仿宋"/>
          <w:snapToGrid w:val="0"/>
          <w:kern w:val="0"/>
          <w:sz w:val="32"/>
          <w:szCs w:val="32"/>
          <w:lang w:val="en-US" w:eastAsia="zh-CN"/>
        </w:rPr>
        <w:t>136</w:t>
      </w:r>
      <w:r>
        <w:rPr>
          <w:rFonts w:hint="eastAsia" w:ascii="仿宋" w:hAnsi="仿宋" w:eastAsia="仿宋" w:cs="仿宋"/>
          <w:snapToGrid w:val="0"/>
          <w:kern w:val="0"/>
          <w:sz w:val="32"/>
          <w:szCs w:val="32"/>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695D9EFA">
      <w:pPr>
        <w:spacing w:line="570" w:lineRule="exact"/>
        <w:jc w:val="center"/>
        <w:rPr>
          <w:rFonts w:ascii="Times New Roman" w:eastAsia="仿宋"/>
          <w:snapToGrid w:val="0"/>
          <w:kern w:val="0"/>
          <w:sz w:val="32"/>
          <w:szCs w:val="32"/>
        </w:rPr>
      </w:pPr>
      <w:r>
        <w:rPr>
          <w:rFonts w:ascii="Times New Roman" w:eastAsia="仿宋"/>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Cn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PkfgfU&#10;AAAABQEAAA8AAAAAAAAAAQAgAAAAIgAAAGRycy9kb3ducmV2LnhtbFBLAQIUABQAAAAIAIdO4kDE&#10;BYaE6wEAANwDAAAOAAAAAAAAAAEAIAAAACMBAABkcnMvZTJvRG9jLnhtbFBLBQYAAAAABgAGAFkB&#10;AACABQAAAAA=&#10;">
                <v:fill on="f" focussize="0,0"/>
                <v:stroke weight="1.5pt" color="#FF0000" joinstyle="round"/>
                <v:imagedata o:title=""/>
                <o:lock v:ext="edit" aspectratio="f"/>
              </v:line>
            </w:pict>
          </mc:Fallback>
        </mc:AlternateContent>
      </w:r>
    </w:p>
    <w:p w14:paraId="7A079CE0">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对市十</w:t>
      </w:r>
      <w:r>
        <w:rPr>
          <w:rFonts w:hint="eastAsia" w:ascii="方正小标宋简体" w:eastAsia="方正小标宋简体"/>
          <w:kern w:val="0"/>
          <w:sz w:val="44"/>
          <w:szCs w:val="44"/>
          <w:lang w:eastAsia="zh-CN"/>
        </w:rPr>
        <w:t>七</w:t>
      </w:r>
      <w:r>
        <w:rPr>
          <w:rFonts w:hint="eastAsia" w:ascii="方正小标宋简体" w:eastAsia="方正小标宋简体"/>
          <w:kern w:val="0"/>
          <w:sz w:val="44"/>
          <w:szCs w:val="44"/>
        </w:rPr>
        <w:t>届人大</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6DAF421A">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0078</w:t>
      </w:r>
      <w:r>
        <w:rPr>
          <w:rFonts w:hint="eastAsia" w:ascii="方正小标宋简体" w:eastAsia="方正小标宋简体"/>
          <w:kern w:val="0"/>
          <w:sz w:val="44"/>
          <w:szCs w:val="44"/>
        </w:rPr>
        <w:t>号建议的答复</w:t>
      </w:r>
    </w:p>
    <w:p w14:paraId="508F2AA0">
      <w:pPr>
        <w:pStyle w:val="4"/>
        <w:keepNext w:val="0"/>
        <w:keepLines w:val="0"/>
        <w:pageBreakBefore w:val="0"/>
        <w:widowControl w:val="0"/>
        <w:kinsoku/>
        <w:overflowPunct/>
        <w:topLinePunct w:val="0"/>
        <w:autoSpaceDE/>
        <w:autoSpaceDN/>
        <w:bidi w:val="0"/>
        <w:adjustRightInd/>
        <w:spacing w:line="550" w:lineRule="exact"/>
        <w:textAlignment w:val="auto"/>
      </w:pPr>
    </w:p>
    <w:p w14:paraId="2278E75E">
      <w:pPr>
        <w:pStyle w:val="21"/>
        <w:keepNext w:val="0"/>
        <w:keepLines w:val="0"/>
        <w:pageBreakBefore w:val="0"/>
        <w:widowControl w:val="0"/>
        <w:kinsoku/>
        <w:overflowPunct/>
        <w:topLinePunct w:val="0"/>
        <w:autoSpaceDE/>
        <w:autoSpaceDN/>
        <w:bidi w:val="0"/>
        <w:adjustRightInd/>
        <w:spacing w:line="550" w:lineRule="exact"/>
        <w:textAlignment w:val="auto"/>
        <w:rPr>
          <w:rFonts w:hint="eastAsia"/>
        </w:rPr>
      </w:pPr>
      <w:r>
        <w:rPr>
          <w:rFonts w:hint="eastAsia"/>
          <w:lang w:val="en-US" w:eastAsia="zh-CN"/>
        </w:rPr>
        <w:t>邢红霞</w:t>
      </w:r>
      <w:r>
        <w:rPr>
          <w:rFonts w:hint="eastAsia"/>
        </w:rPr>
        <w:t>代表：</w:t>
      </w:r>
    </w:p>
    <w:p w14:paraId="7B12DAD4">
      <w:pPr>
        <w:pStyle w:val="15"/>
        <w:keepNext w:val="0"/>
        <w:keepLines w:val="0"/>
        <w:pageBreakBefore w:val="0"/>
        <w:widowControl w:val="0"/>
        <w:kinsoku/>
        <w:wordWrap/>
        <w:overflowPunct/>
        <w:topLinePunct w:val="0"/>
        <w:autoSpaceDE/>
        <w:autoSpaceDN/>
        <w:bidi w:val="0"/>
        <w:adjustRightInd/>
        <w:snapToGrid/>
        <w:spacing w:line="550" w:lineRule="exact"/>
        <w:textAlignment w:val="auto"/>
        <w:rPr>
          <w:rFonts w:hint="eastAsia"/>
        </w:rPr>
      </w:pPr>
      <w:r>
        <w:rPr>
          <w:rFonts w:hint="default"/>
          <w:lang w:val="en-US"/>
        </w:rPr>
        <w:t>您</w:t>
      </w:r>
      <w:r>
        <w:rPr>
          <w:rFonts w:hint="eastAsia"/>
        </w:rPr>
        <w:t>提出的《</w:t>
      </w:r>
      <w:r>
        <w:rPr>
          <w:rFonts w:hint="default"/>
          <w:lang w:val="en-US"/>
        </w:rPr>
        <w:t>关于</w:t>
      </w:r>
      <w:r>
        <w:rPr>
          <w:rFonts w:hint="eastAsia"/>
          <w:lang w:val="en-US" w:eastAsia="zh-CN"/>
        </w:rPr>
        <w:t>将心肺复苏急救纳入苏州市高中和高校教学课程</w:t>
      </w:r>
      <w:r>
        <w:rPr>
          <w:rFonts w:hint="default"/>
          <w:lang w:val="en-US"/>
        </w:rPr>
        <w:t>的建议</w:t>
      </w:r>
      <w:r>
        <w:rPr>
          <w:rFonts w:hint="eastAsia"/>
        </w:rPr>
        <w:t>》收悉。现答复如下：</w:t>
      </w:r>
    </w:p>
    <w:p w14:paraId="367E5F12">
      <w:pPr>
        <w:pStyle w:val="15"/>
        <w:keepNext w:val="0"/>
        <w:keepLines w:val="0"/>
        <w:pageBreakBefore w:val="0"/>
        <w:widowControl w:val="0"/>
        <w:kinsoku/>
        <w:wordWrap/>
        <w:overflowPunct/>
        <w:topLinePunct w:val="0"/>
        <w:autoSpaceDE/>
        <w:autoSpaceDN/>
        <w:bidi w:val="0"/>
        <w:adjustRightInd/>
        <w:snapToGrid/>
        <w:spacing w:line="550" w:lineRule="exact"/>
        <w:textAlignment w:val="auto"/>
        <w:rPr>
          <w:rFonts w:hint="eastAsia"/>
          <w:lang w:eastAsia="zh-CN"/>
        </w:rPr>
      </w:pPr>
      <w:r>
        <w:rPr>
          <w:rFonts w:hint="eastAsia"/>
        </w:rPr>
        <w:t>生命安全是教育事业发展的基石，心肺复苏急救技能作为守护生命的“黄金钥匙”，对提升师生应急自救能力、构建平安校园意义重大。苏州市</w:t>
      </w:r>
      <w:r>
        <w:rPr>
          <w:rFonts w:hint="eastAsia"/>
          <w:lang w:eastAsia="zh-CN"/>
        </w:rPr>
        <w:t>教育局</w:t>
      </w:r>
      <w:r>
        <w:rPr>
          <w:rFonts w:hint="eastAsia"/>
        </w:rPr>
        <w:t>立足实际，强化顶层设计，完善跨部门联动机制，以系统思维构建高质量急救教育体系，实现从试点探索到全域推广的跨越发展，为培育具备生命守护能力的新时代人才注入强劲动能。</w:t>
      </w:r>
    </w:p>
    <w:p w14:paraId="23044E6D">
      <w:pPr>
        <w:pStyle w:val="19"/>
        <w:keepNext w:val="0"/>
        <w:keepLines w:val="0"/>
        <w:pageBreakBefore w:val="0"/>
        <w:widowControl w:val="0"/>
        <w:kinsoku/>
        <w:overflowPunct/>
        <w:topLinePunct w:val="0"/>
        <w:autoSpaceDE/>
        <w:autoSpaceDN/>
        <w:bidi w:val="0"/>
        <w:adjustRightInd/>
        <w:spacing w:line="550" w:lineRule="exact"/>
        <w:textAlignment w:val="auto"/>
        <w:rPr>
          <w:rFonts w:hint="eastAsia"/>
        </w:rPr>
      </w:pPr>
      <w:r>
        <w:rPr>
          <w:rFonts w:hint="eastAsia"/>
        </w:rPr>
        <w:t>一、顶层设计，构建急救教育全周期体系</w:t>
      </w:r>
    </w:p>
    <w:p w14:paraId="443D4A83">
      <w:pPr>
        <w:pStyle w:val="15"/>
        <w:keepNext w:val="0"/>
        <w:keepLines w:val="0"/>
        <w:pageBreakBefore w:val="0"/>
        <w:widowControl w:val="0"/>
        <w:kinsoku/>
        <w:wordWrap/>
        <w:overflowPunct/>
        <w:topLinePunct w:val="0"/>
        <w:autoSpaceDE/>
        <w:autoSpaceDN/>
        <w:bidi w:val="0"/>
        <w:adjustRightInd/>
        <w:snapToGrid/>
        <w:spacing w:line="550" w:lineRule="exact"/>
        <w:textAlignment w:val="auto"/>
        <w:rPr>
          <w:rFonts w:hint="eastAsia"/>
        </w:rPr>
      </w:pPr>
      <w:r>
        <w:rPr>
          <w:rFonts w:hint="eastAsia"/>
        </w:rPr>
        <w:t>苏州市教育局以“健康中国”战略为指引，将急救教育纳入教育事业发展全局，明确“制度先行、师资为本、设备为基、协同为要”的建设路径。通过统筹教育、卫生、财政等多部门资源，构建覆盖“小学启蒙、中学普及、高校深化”的全学段急救教育体系，形成“课程有标准、培训有基地、考核有机制、应急有预案”的闭环管理模式，为校园急救能力提升奠定坚实基础。</w:t>
      </w:r>
    </w:p>
    <w:p w14:paraId="10B5A857">
      <w:pPr>
        <w:pStyle w:val="19"/>
        <w:keepNext w:val="0"/>
        <w:keepLines w:val="0"/>
        <w:pageBreakBefore w:val="0"/>
        <w:widowControl w:val="0"/>
        <w:kinsoku/>
        <w:overflowPunct/>
        <w:topLinePunct w:val="0"/>
        <w:autoSpaceDE/>
        <w:autoSpaceDN/>
        <w:bidi w:val="0"/>
        <w:adjustRightInd/>
        <w:spacing w:line="550" w:lineRule="exact"/>
        <w:textAlignment w:val="auto"/>
        <w:rPr>
          <w:rFonts w:hint="eastAsia"/>
        </w:rPr>
      </w:pPr>
      <w:r>
        <w:rPr>
          <w:rFonts w:hint="eastAsia"/>
        </w:rPr>
        <w:t>二、靶向施策，夯实急救教育四大支撑</w:t>
      </w:r>
    </w:p>
    <w:p w14:paraId="02FFA31D">
      <w:pPr>
        <w:pStyle w:val="15"/>
        <w:keepNext w:val="0"/>
        <w:keepLines w:val="0"/>
        <w:pageBreakBefore w:val="0"/>
        <w:widowControl w:val="0"/>
        <w:kinsoku/>
        <w:wordWrap/>
        <w:overflowPunct/>
        <w:topLinePunct w:val="0"/>
        <w:autoSpaceDE/>
        <w:autoSpaceDN/>
        <w:bidi w:val="0"/>
        <w:adjustRightInd/>
        <w:snapToGrid/>
        <w:spacing w:line="550" w:lineRule="exact"/>
        <w:textAlignment w:val="auto"/>
        <w:rPr>
          <w:rFonts w:hint="eastAsia"/>
          <w:lang w:eastAsia="zh-CN"/>
        </w:rPr>
      </w:pPr>
      <w:r>
        <w:rPr>
          <w:rFonts w:hint="eastAsia"/>
        </w:rPr>
        <w:t>课程体系：按照教育部有关要求，目前中小学道德与法治、体育与健康、生物学、地理、化学等学科均融入了急救知识相关内容。例如：小学科学课程要求学生学习触电、溺水、异物堵塞气管、蛇虫咬伤等急救的基本知识和基本方法。道德与法治课程要求学生“知道在紧急情况下的逃生或救助办法”。初中生物学课程要求学生“模拟练习人工呼吸或止血包扎”等，高中生物学课程专门开设了“急救措施”模块，其内容包括紧急情况下公民必备的最基本的医疗急救措施知识与技能，如常用急救药物的使用、“120”紧急呼叫、心肺复苏、外伤止血、游泳意外的自救、动物咬伤后的处理、煤气中毒后的自救与互救等方面的内容。普通高中体育与健康课程要求学生“掌握并运用安全运动、预防常见运动伤病和突发事故、消除运动疲劳的知识与方法，如心肺复苏、溺水救护等知识与技能”“掌握并运用安全避险的知识与方法，如拥挤、暴恐事件等紧急情况下的避险和急救常识”。</w:t>
      </w:r>
      <w:r>
        <w:rPr>
          <w:rFonts w:hint="eastAsia"/>
          <w:lang w:eastAsia="zh-CN"/>
        </w:rPr>
        <w:t>教材建设：苏州市第五中学联合苏州市护理学会共同编写《第一目击者——青少年校园现场急救》，探索开发急救教学校本教材</w:t>
      </w:r>
      <w:r>
        <w:rPr>
          <w:rFonts w:hint="eastAsia"/>
        </w:rPr>
        <w:t>，确保“学有课时、考有标准”</w:t>
      </w:r>
      <w:r>
        <w:rPr>
          <w:rFonts w:hint="eastAsia"/>
          <w:lang w:eastAsia="zh-CN"/>
        </w:rPr>
        <w:t>。</w:t>
      </w:r>
      <w:r>
        <w:rPr>
          <w:rFonts w:hint="eastAsia"/>
        </w:rPr>
        <w:t>师资队伍：实施重点人群急救知识全员培训计划。苏州卫生职业技术学院、苏州市第五中学校、张家港市塘桥初级中学、常熟市义庄小学等四所学校入选教育部第二批1000所全国急救教育试点学校。2023年11月苏州市第五中学斩获江苏省首届中小学急救教育展示活动团体一等奖。2024年8月，市教育局组建教育系统急救教育骨干教师参赛队，依托五中为培训基地，经过为期1个月的集中封闭式培训，一举获得2024年苏州市红十字应急救护职业技能竞赛团体一等奖，以赛促学、以赛促教，激发教师能动性</w:t>
      </w:r>
      <w:r>
        <w:rPr>
          <w:rFonts w:hint="eastAsia"/>
          <w:lang w:eastAsia="zh-CN"/>
        </w:rPr>
        <w:t>。硬件设施：自</w:t>
      </w:r>
      <w:r>
        <w:rPr>
          <w:rFonts w:hint="eastAsia"/>
          <w:lang w:val="en-US" w:eastAsia="zh-CN"/>
        </w:rPr>
        <w:t>2023年起，苏州市教育局组织各地各校购买</w:t>
      </w:r>
      <w:r>
        <w:rPr>
          <w:rFonts w:hint="eastAsia"/>
        </w:rPr>
        <w:t>AED设备</w:t>
      </w:r>
      <w:r>
        <w:rPr>
          <w:rFonts w:hint="eastAsia"/>
          <w:lang w:eastAsia="zh-CN"/>
        </w:rPr>
        <w:t>，</w:t>
      </w:r>
      <w:r>
        <w:rPr>
          <w:rFonts w:hint="eastAsia"/>
          <w:lang w:val="en-US" w:eastAsia="zh-CN"/>
        </w:rPr>
        <w:t>进一步配齐</w:t>
      </w:r>
      <w:r>
        <w:rPr>
          <w:rFonts w:hint="eastAsia"/>
        </w:rPr>
        <w:t>配足</w:t>
      </w:r>
      <w:r>
        <w:rPr>
          <w:rFonts w:hint="eastAsia"/>
          <w:lang w:eastAsia="zh-CN"/>
        </w:rPr>
        <w:t>应急救护</w:t>
      </w:r>
      <w:r>
        <w:rPr>
          <w:rFonts w:hint="eastAsia"/>
        </w:rPr>
        <w:t>教学设施，联动</w:t>
      </w:r>
      <w:r>
        <w:rPr>
          <w:rFonts w:hint="eastAsia"/>
          <w:lang w:eastAsia="zh-CN"/>
        </w:rPr>
        <w:t>高校</w:t>
      </w:r>
      <w:r>
        <w:rPr>
          <w:rFonts w:hint="eastAsia"/>
        </w:rPr>
        <w:t>共建实训基地，通过课堂实操</w:t>
      </w:r>
      <w:r>
        <w:rPr>
          <w:rFonts w:hint="eastAsia"/>
          <w:lang w:eastAsia="zh-CN"/>
        </w:rPr>
        <w:t>、</w:t>
      </w:r>
      <w:r>
        <w:rPr>
          <w:rFonts w:hint="eastAsia"/>
        </w:rPr>
        <w:t>竞赛演练</w:t>
      </w:r>
      <w:r>
        <w:rPr>
          <w:rFonts w:hint="eastAsia"/>
          <w:lang w:eastAsia="zh-CN"/>
        </w:rPr>
        <w:t>、应急实战等多种</w:t>
      </w:r>
      <w:r>
        <w:rPr>
          <w:rFonts w:hint="eastAsia"/>
        </w:rPr>
        <w:t>模式，提升学生应急</w:t>
      </w:r>
      <w:r>
        <w:rPr>
          <w:rFonts w:hint="eastAsia"/>
          <w:lang w:eastAsia="zh-CN"/>
        </w:rPr>
        <w:t>处置</w:t>
      </w:r>
      <w:r>
        <w:rPr>
          <w:rFonts w:hint="eastAsia"/>
        </w:rPr>
        <w:t>能力。</w:t>
      </w:r>
    </w:p>
    <w:p w14:paraId="404105BC">
      <w:pPr>
        <w:pStyle w:val="19"/>
        <w:keepNext w:val="0"/>
        <w:keepLines w:val="0"/>
        <w:pageBreakBefore w:val="0"/>
        <w:widowControl w:val="0"/>
        <w:kinsoku/>
        <w:overflowPunct/>
        <w:topLinePunct w:val="0"/>
        <w:autoSpaceDE/>
        <w:autoSpaceDN/>
        <w:bidi w:val="0"/>
        <w:adjustRightInd/>
        <w:spacing w:line="550" w:lineRule="exact"/>
        <w:textAlignment w:val="auto"/>
        <w:rPr>
          <w:rFonts w:hint="eastAsia"/>
        </w:rPr>
      </w:pPr>
      <w:r>
        <w:rPr>
          <w:rFonts w:hint="eastAsia"/>
        </w:rPr>
        <w:t>三、协同创新，打造急救教育“苏州范式”</w:t>
      </w:r>
    </w:p>
    <w:p w14:paraId="2A111F80">
      <w:pPr>
        <w:pStyle w:val="15"/>
        <w:keepNext w:val="0"/>
        <w:keepLines w:val="0"/>
        <w:pageBreakBefore w:val="0"/>
        <w:widowControl w:val="0"/>
        <w:kinsoku/>
        <w:wordWrap/>
        <w:overflowPunct/>
        <w:topLinePunct w:val="0"/>
        <w:autoSpaceDE/>
        <w:autoSpaceDN/>
        <w:bidi w:val="0"/>
        <w:adjustRightInd/>
        <w:snapToGrid/>
        <w:spacing w:line="550" w:lineRule="exact"/>
        <w:textAlignment w:val="auto"/>
        <w:rPr>
          <w:rFonts w:hint="eastAsia"/>
        </w:rPr>
      </w:pPr>
      <w:r>
        <w:rPr>
          <w:rFonts w:hint="eastAsia"/>
        </w:rPr>
        <w:t>构建“小学启蒙—初中普及—高中强化—高校深化”全链条体系</w:t>
      </w:r>
      <w:r>
        <w:rPr>
          <w:rFonts w:hint="eastAsia"/>
          <w:lang w:eastAsia="zh-CN"/>
        </w:rPr>
        <w:t>，</w:t>
      </w:r>
      <w:r>
        <w:rPr>
          <w:rFonts w:hint="eastAsia"/>
        </w:rPr>
        <w:t>全学段贯通培养。2024年11月苏州市教育局召开苏州市中小学急救教育推进会，建立“教育主导、卫健指导、高校支撑、社区参与”联动机制，成立了苏州市中小学急救教育培训基地，通过基地建设，整合多方资源，充分发挥试点校的示范引领作用，在努力建设为我市急救教育标杆的同时，辐射带动周边学校和社区，形成全社会共同参与的良好局面。</w:t>
      </w:r>
    </w:p>
    <w:p w14:paraId="60F7CE09">
      <w:pPr>
        <w:pStyle w:val="15"/>
        <w:keepNext w:val="0"/>
        <w:keepLines w:val="0"/>
        <w:pageBreakBefore w:val="0"/>
        <w:widowControl w:val="0"/>
        <w:kinsoku/>
        <w:wordWrap/>
        <w:overflowPunct/>
        <w:topLinePunct w:val="0"/>
        <w:autoSpaceDE/>
        <w:autoSpaceDN/>
        <w:bidi w:val="0"/>
        <w:adjustRightInd/>
        <w:snapToGrid/>
        <w:spacing w:line="550" w:lineRule="exact"/>
        <w:textAlignment w:val="auto"/>
        <w:rPr>
          <w:rFonts w:hint="eastAsia"/>
        </w:rPr>
      </w:pPr>
      <w:r>
        <w:rPr>
          <w:rFonts w:hint="eastAsia"/>
          <w:lang w:eastAsia="zh-CN"/>
        </w:rPr>
        <w:t>下一步，苏州市教育局</w:t>
      </w:r>
      <w:r>
        <w:rPr>
          <w:rFonts w:hint="eastAsia"/>
        </w:rPr>
        <w:t>将以“功成必定有我”的担当，全力推动心肺复苏急救纳入课堂教学，为培养具有社会责任感和急救能力的新时代青年筑牢生命根基，为健康中国建设贡献苏州力量。</w:t>
      </w:r>
    </w:p>
    <w:p w14:paraId="5B09FC6C">
      <w:pPr>
        <w:keepNext w:val="0"/>
        <w:keepLines w:val="0"/>
        <w:pageBreakBefore w:val="0"/>
        <w:widowControl w:val="0"/>
        <w:kinsoku/>
        <w:overflowPunct/>
        <w:topLinePunct w:val="0"/>
        <w:autoSpaceDE/>
        <w:autoSpaceDN/>
        <w:bidi w:val="0"/>
        <w:adjustRightInd/>
        <w:spacing w:line="550" w:lineRule="exact"/>
        <w:ind w:firstLine="640" w:firstLineChars="200"/>
        <w:textAlignment w:val="auto"/>
        <w:rPr>
          <w:rFonts w:ascii="仿宋" w:hAnsi="仿宋" w:eastAsia="仿宋"/>
          <w:sz w:val="32"/>
          <w:szCs w:val="32"/>
        </w:rPr>
      </w:pPr>
      <w:bookmarkStart w:id="0" w:name="_GoBack"/>
      <w:bookmarkEnd w:id="0"/>
    </w:p>
    <w:p w14:paraId="4788C74F">
      <w:pPr>
        <w:keepNext w:val="0"/>
        <w:keepLines w:val="0"/>
        <w:pageBreakBefore w:val="0"/>
        <w:widowControl w:val="0"/>
        <w:kinsoku/>
        <w:overflowPunct/>
        <w:topLinePunct w:val="0"/>
        <w:autoSpaceDE/>
        <w:autoSpaceDN/>
        <w:bidi w:val="0"/>
        <w:adjustRightInd/>
        <w:spacing w:line="550" w:lineRule="exact"/>
        <w:ind w:firstLine="640" w:firstLineChars="200"/>
        <w:textAlignment w:val="auto"/>
        <w:rPr>
          <w:rFonts w:ascii="仿宋" w:hAnsi="仿宋" w:eastAsia="仿宋"/>
          <w:sz w:val="32"/>
          <w:szCs w:val="32"/>
        </w:rPr>
      </w:pPr>
    </w:p>
    <w:p w14:paraId="2150B795">
      <w:pPr>
        <w:keepNext w:val="0"/>
        <w:keepLines w:val="0"/>
        <w:pageBreakBefore w:val="0"/>
        <w:widowControl w:val="0"/>
        <w:kinsoku/>
        <w:wordWrap w:val="0"/>
        <w:overflowPunct/>
        <w:topLinePunct w:val="0"/>
        <w:autoSpaceDE/>
        <w:autoSpaceDN/>
        <w:bidi w:val="0"/>
        <w:adjustRightInd/>
        <w:spacing w:line="550" w:lineRule="exact"/>
        <w:ind w:right="1260" w:rightChars="600"/>
        <w:jc w:val="right"/>
        <w:textAlignment w:val="auto"/>
        <w:rPr>
          <w:rFonts w:ascii="仿宋" w:hAnsi="仿宋" w:eastAsia="仿宋"/>
          <w:sz w:val="32"/>
          <w:szCs w:val="32"/>
        </w:rPr>
      </w:pPr>
      <w:r>
        <w:rPr>
          <w:rFonts w:ascii="仿宋" w:hAnsi="仿宋" w:eastAsia="仿宋"/>
          <w:sz w:val="32"/>
          <w:szCs w:val="32"/>
        </w:rPr>
        <w:t>苏州市教育局</w:t>
      </w:r>
    </w:p>
    <w:p w14:paraId="2CDAFA02">
      <w:pPr>
        <w:keepNext w:val="0"/>
        <w:keepLines w:val="0"/>
        <w:pageBreakBefore w:val="0"/>
        <w:widowControl w:val="0"/>
        <w:kinsoku/>
        <w:overflowPunct/>
        <w:topLinePunct w:val="0"/>
        <w:autoSpaceDE/>
        <w:autoSpaceDN/>
        <w:bidi w:val="0"/>
        <w:adjustRightInd/>
        <w:spacing w:line="550" w:lineRule="exact"/>
        <w:ind w:right="840" w:rightChars="400"/>
        <w:jc w:val="right"/>
        <w:textAlignment w:val="auto"/>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12</w:t>
      </w:r>
      <w:r>
        <w:rPr>
          <w:rFonts w:ascii="仿宋" w:hAnsi="仿宋" w:eastAsia="仿宋"/>
          <w:sz w:val="32"/>
          <w:szCs w:val="32"/>
        </w:rPr>
        <w:t>日</w:t>
      </w:r>
    </w:p>
    <w:p w14:paraId="535DF201">
      <w:pPr>
        <w:rPr>
          <w:rFonts w:ascii="仿宋" w:hAnsi="仿宋" w:eastAsia="仿宋"/>
          <w:sz w:val="32"/>
          <w:szCs w:val="32"/>
        </w:rPr>
      </w:pPr>
    </w:p>
    <w:p w14:paraId="2086CAD3">
      <w:pPr>
        <w:rPr>
          <w:rFonts w:ascii="仿宋" w:hAnsi="仿宋" w:eastAsia="仿宋"/>
          <w:sz w:val="32"/>
          <w:szCs w:val="32"/>
        </w:rPr>
      </w:pPr>
    </w:p>
    <w:p w14:paraId="20074FBA">
      <w:pPr>
        <w:rPr>
          <w:rFonts w:ascii="仿宋" w:hAnsi="仿宋" w:eastAsia="仿宋"/>
          <w:sz w:val="32"/>
          <w:szCs w:val="32"/>
        </w:rPr>
      </w:pPr>
    </w:p>
    <w:p w14:paraId="19330832">
      <w:pPr>
        <w:rPr>
          <w:rFonts w:ascii="仿宋" w:hAnsi="仿宋" w:eastAsia="仿宋"/>
          <w:sz w:val="32"/>
          <w:szCs w:val="32"/>
        </w:rPr>
      </w:pPr>
    </w:p>
    <w:p w14:paraId="7A589235">
      <w:pPr>
        <w:rPr>
          <w:rFonts w:ascii="仿宋" w:hAnsi="仿宋" w:eastAsia="仿宋"/>
          <w:sz w:val="32"/>
          <w:szCs w:val="32"/>
        </w:rPr>
      </w:pPr>
    </w:p>
    <w:p w14:paraId="7801F362">
      <w:pPr>
        <w:rPr>
          <w:rFonts w:ascii="仿宋" w:hAnsi="仿宋" w:eastAsia="仿宋"/>
          <w:sz w:val="32"/>
          <w:szCs w:val="32"/>
        </w:rPr>
      </w:pPr>
    </w:p>
    <w:p w14:paraId="21AD5903">
      <w:pPr>
        <w:rPr>
          <w:rFonts w:ascii="仿宋" w:hAnsi="仿宋" w:eastAsia="仿宋"/>
          <w:sz w:val="32"/>
          <w:szCs w:val="32"/>
        </w:rPr>
      </w:pPr>
    </w:p>
    <w:p w14:paraId="31A19EDE">
      <w:pPr>
        <w:rPr>
          <w:rFonts w:ascii="仿宋" w:hAnsi="仿宋" w:eastAsia="仿宋"/>
          <w:sz w:val="32"/>
          <w:szCs w:val="32"/>
        </w:rPr>
      </w:pPr>
    </w:p>
    <w:p w14:paraId="2EA740E8">
      <w:pPr>
        <w:rPr>
          <w:rFonts w:ascii="仿宋" w:hAnsi="仿宋" w:eastAsia="仿宋"/>
          <w:sz w:val="32"/>
          <w:szCs w:val="32"/>
        </w:rPr>
      </w:pPr>
    </w:p>
    <w:p w14:paraId="01F89485">
      <w:pPr>
        <w:rPr>
          <w:rFonts w:ascii="仿宋" w:hAnsi="仿宋" w:eastAsia="仿宋"/>
          <w:sz w:val="32"/>
          <w:szCs w:val="32"/>
        </w:rPr>
      </w:pPr>
    </w:p>
    <w:p w14:paraId="06A625FC">
      <w:pPr>
        <w:rPr>
          <w:rFonts w:ascii="仿宋" w:hAnsi="仿宋" w:eastAsia="仿宋"/>
          <w:sz w:val="32"/>
          <w:szCs w:val="32"/>
        </w:rPr>
      </w:pPr>
    </w:p>
    <w:p w14:paraId="09EFAD72">
      <w:pPr>
        <w:rPr>
          <w:rFonts w:ascii="仿宋" w:hAnsi="仿宋" w:eastAsia="仿宋"/>
          <w:sz w:val="32"/>
          <w:szCs w:val="32"/>
        </w:rPr>
      </w:pPr>
    </w:p>
    <w:p w14:paraId="455AEA2C">
      <w:pPr>
        <w:rPr>
          <w:rFonts w:ascii="仿宋" w:hAnsi="仿宋" w:eastAsia="仿宋"/>
          <w:sz w:val="32"/>
          <w:szCs w:val="32"/>
        </w:rPr>
      </w:pPr>
    </w:p>
    <w:p w14:paraId="5B444421">
      <w:pPr>
        <w:rPr>
          <w:rFonts w:ascii="仿宋" w:hAnsi="仿宋" w:eastAsia="仿宋"/>
          <w:sz w:val="32"/>
          <w:szCs w:val="32"/>
        </w:rPr>
      </w:pPr>
    </w:p>
    <w:p w14:paraId="5BBD8629">
      <w:pPr>
        <w:rPr>
          <w:rFonts w:ascii="仿宋" w:hAnsi="仿宋" w:eastAsia="仿宋"/>
          <w:sz w:val="32"/>
          <w:szCs w:val="32"/>
        </w:rPr>
      </w:pPr>
    </w:p>
    <w:p w14:paraId="6768959C">
      <w:pPr>
        <w:rPr>
          <w:rFonts w:ascii="仿宋" w:hAnsi="仿宋" w:eastAsia="仿宋"/>
          <w:sz w:val="32"/>
          <w:szCs w:val="32"/>
        </w:rPr>
      </w:pPr>
    </w:p>
    <w:p w14:paraId="5E2A62DA">
      <w:pPr>
        <w:rPr>
          <w:rFonts w:ascii="仿宋" w:hAnsi="仿宋" w:eastAsia="仿宋"/>
          <w:sz w:val="32"/>
          <w:szCs w:val="32"/>
        </w:rPr>
      </w:pPr>
    </w:p>
    <w:p w14:paraId="5F291F5D">
      <w:pPr>
        <w:rPr>
          <w:rFonts w:ascii="仿宋" w:hAnsi="仿宋" w:eastAsia="仿宋"/>
          <w:sz w:val="32"/>
          <w:szCs w:val="32"/>
        </w:rPr>
      </w:pPr>
    </w:p>
    <w:p w14:paraId="47731EDD">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17B69819">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0E8782FA">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eastAsia="zh-CN"/>
        </w:rPr>
      </w:pPr>
      <w:r>
        <w:rPr>
          <w:rFonts w:hint="eastAsia"/>
        </w:rPr>
        <w:t>抄</w:t>
      </w:r>
      <w:r>
        <w:t xml:space="preserve">      </w:t>
      </w:r>
      <w:r>
        <w:rPr>
          <w:rFonts w:hint="eastAsia"/>
        </w:rPr>
        <w:t>送：市人大代表议案建议工委、市政府办公室</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A5CE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6D4062">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446D4062">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84A7A">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p w14:paraId="124BDC9D">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FCC7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66F4B">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1639780B"/>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552664B"/>
    <w:rsid w:val="08047C00"/>
    <w:rsid w:val="0AD82C3E"/>
    <w:rsid w:val="101A2ED3"/>
    <w:rsid w:val="1639780B"/>
    <w:rsid w:val="20E62BD1"/>
    <w:rsid w:val="24C26FA6"/>
    <w:rsid w:val="2CFF3CE2"/>
    <w:rsid w:val="3DB05C11"/>
    <w:rsid w:val="49E46575"/>
    <w:rsid w:val="4FD247EF"/>
    <w:rsid w:val="61A7456F"/>
    <w:rsid w:val="61CD07DD"/>
    <w:rsid w:val="644C3BBB"/>
    <w:rsid w:val="67CB3B5A"/>
    <w:rsid w:val="6D8718F0"/>
    <w:rsid w:val="751065EC"/>
    <w:rsid w:val="798E018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alloon Text"/>
    <w:basedOn w:val="1"/>
    <w:semiHidden/>
    <w:qFormat/>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1 Char"/>
    <w:link w:val="2"/>
    <w:uiPriority w:val="0"/>
    <w:rPr>
      <w:rFonts w:ascii="仿宋_GB2312" w:eastAsia="仿宋_GB2312"/>
      <w:b/>
      <w:bCs/>
      <w:kern w:val="44"/>
      <w:sz w:val="44"/>
      <w:szCs w:val="44"/>
    </w:rPr>
  </w:style>
  <w:style w:type="character" w:customStyle="1" w:styleId="12">
    <w:name w:val="标题 Char"/>
    <w:link w:val="6"/>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uiPriority w:val="0"/>
    <w:pPr>
      <w:widowControl/>
    </w:pPr>
    <w:rPr>
      <w:rFonts w:ascii="Times New Roman" w:eastAsia="宋体"/>
      <w:kern w:val="0"/>
      <w:szCs w:val="21"/>
    </w:rPr>
  </w:style>
  <w:style w:type="paragraph" w:customStyle="1" w:styleId="17">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qFormat/>
    <w:uiPriority w:val="0"/>
    <w:pPr>
      <w:ind w:firstLine="640" w:firstLineChars="200"/>
    </w:pPr>
    <w:rPr>
      <w:rFonts w:ascii="黑体" w:eastAsia="黑体"/>
      <w:sz w:val="32"/>
      <w:szCs w:val="32"/>
    </w:rPr>
  </w:style>
  <w:style w:type="paragraph" w:customStyle="1" w:styleId="20">
    <w:name w:val="正文1"/>
    <w:uiPriority w:val="0"/>
    <w:pPr>
      <w:jc w:val="both"/>
    </w:pPr>
    <w:rPr>
      <w:rFonts w:ascii="Times New Roman" w:hAnsi="Times New Roman" w:eastAsia="宋体" w:cs="Times New Roman"/>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uiPriority w:val="0"/>
    <w:pPr>
      <w:widowControl/>
    </w:pPr>
    <w:rPr>
      <w:rFonts w:ascii="Times New Roman" w:eastAsia="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0154;&#22823;&#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0人大主办.dot</Template>
  <Pages>4</Pages>
  <Words>1538</Words>
  <Characters>1581</Characters>
  <Lines>1</Lines>
  <Paragraphs>1</Paragraphs>
  <TotalTime>0</TotalTime>
  <ScaleCrop>false</ScaleCrop>
  <LinksUpToDate>false</LinksUpToDate>
  <CharactersWithSpaces>1606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2025-06-12T08:58:00Z</dcterms:created>
  <dc:creator>琪思喵相</dc:creator>
  <cp:keywords>JYJBGS</cp:keywords>
  <cp:lastModifiedBy>琪思喵相</cp:lastModifiedBy>
  <cp:lastPrinted>2025-06-13T07:18:34Z</cp:lastPrinted>
  <dcterms:modified xsi:type="dcterms:W3CDTF">2025-06-13T07:24:42Z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E887ECD4DFD344E99BB3BFD6DC51AE32_11</vt:lpwstr>
  </property>
  <property fmtid="{D5CDD505-2E9C-101B-9397-08002B2CF9AE}" pid="4" name="KSOTemplateDocerSaveRecord">
    <vt:lpwstr>eyJoZGlkIjoiYzg3YTJjMjUwZGEyZjJiODFhMTlhYmEzNjdhOWVlZTUiLCJ1c2VySWQiOiI2Nzc3OTk0In0=</vt:lpwstr>
  </property>
</Properties>
</file>