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3F303">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35928456">
      <w:pPr>
        <w:pStyle w:val="4"/>
        <w:bidi w:val="0"/>
        <w:rPr>
          <w:rFonts w:hint="eastAsia"/>
        </w:rPr>
      </w:pPr>
    </w:p>
    <w:p w14:paraId="0DCA45ED">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00B7E485">
      <w:pPr>
        <w:spacing w:line="460" w:lineRule="exact"/>
        <w:jc w:val="center"/>
        <w:rPr>
          <w:rFonts w:ascii="Times New Roman"/>
          <w:sz w:val="32"/>
          <w:szCs w:val="32"/>
        </w:rPr>
      </w:pPr>
    </w:p>
    <w:p w14:paraId="1572651E">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〕苏教办复第</w:t>
      </w:r>
      <w:r>
        <w:rPr>
          <w:rFonts w:hint="eastAsia" w:ascii="仿宋" w:hAnsi="仿宋" w:eastAsia="仿宋" w:cs="仿宋"/>
          <w:snapToGrid w:val="0"/>
          <w:kern w:val="0"/>
          <w:sz w:val="32"/>
          <w:szCs w:val="32"/>
          <w:lang w:val="en-US" w:eastAsia="zh-CN"/>
        </w:rPr>
        <w:t>164</w:t>
      </w:r>
      <w:r>
        <w:rPr>
          <w:rFonts w:hint="eastAsia" w:ascii="仿宋" w:hAnsi="仿宋" w:eastAsia="仿宋" w:cs="仿宋"/>
          <w:snapToGrid w:val="0"/>
          <w:kern w:val="0"/>
          <w:sz w:val="32"/>
          <w:szCs w:val="32"/>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6F9AC335">
      <w:pPr>
        <w:spacing w:line="570" w:lineRule="exact"/>
        <w:jc w:val="center"/>
        <w:rPr>
          <w:rFonts w:ascii="Times New Roman" w:eastAsia="仿宋"/>
          <w:snapToGrid w:val="0"/>
          <w:kern w:val="0"/>
          <w:sz w:val="32"/>
          <w:szCs w:val="32"/>
        </w:rPr>
      </w:pPr>
      <w:r>
        <w:rPr>
          <w:rFonts w:ascii="Times New Roman" w:eastAsia="仿宋"/>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Cn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PkfgfU&#10;AAAABQEAAA8AAAAAAAAAAQAgAAAAIgAAAGRycy9kb3ducmV2LnhtbFBLAQIUABQAAAAIAIdO4kDE&#10;BYaE6wEAANwDAAAOAAAAAAAAAAEAIAAAACMBAABkcnMvZTJvRG9jLnhtbFBLBQYAAAAABgAGAFkB&#10;AACABQAAAAA=&#10;">
                <v:fill on="f" focussize="0,0"/>
                <v:stroke weight="1.5pt" color="#FF0000" joinstyle="round"/>
                <v:imagedata o:title=""/>
                <o:lock v:ext="edit" aspectratio="f"/>
              </v:line>
            </w:pict>
          </mc:Fallback>
        </mc:AlternateContent>
      </w:r>
    </w:p>
    <w:p w14:paraId="3BC69863">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03A20830">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288</w:t>
      </w:r>
      <w:r>
        <w:rPr>
          <w:rFonts w:hint="eastAsia" w:ascii="方正小标宋简体" w:eastAsia="方正小标宋简体"/>
          <w:kern w:val="0"/>
          <w:sz w:val="44"/>
          <w:szCs w:val="44"/>
        </w:rPr>
        <w:t>号提案的答复</w:t>
      </w:r>
    </w:p>
    <w:p w14:paraId="57896D58">
      <w:pPr>
        <w:rPr>
          <w:rFonts w:ascii="仿宋" w:hAnsi="仿宋" w:eastAsia="仿宋"/>
          <w:sz w:val="32"/>
          <w:szCs w:val="32"/>
        </w:rPr>
      </w:pPr>
    </w:p>
    <w:p w14:paraId="1F09357E">
      <w:pPr>
        <w:pStyle w:val="21"/>
        <w:bidi w:val="0"/>
        <w:rPr>
          <w:rFonts w:hint="eastAsia"/>
          <w:lang w:eastAsia="zh-CN"/>
        </w:rPr>
      </w:pPr>
      <w:r>
        <w:rPr>
          <w:rFonts w:hint="eastAsia"/>
          <w:lang w:eastAsia="zh-CN"/>
        </w:rPr>
        <w:t>周惠根委员：</w:t>
      </w:r>
    </w:p>
    <w:p w14:paraId="653E07DB">
      <w:pPr>
        <w:pStyle w:val="15"/>
        <w:bidi w:val="0"/>
        <w:rPr>
          <w:rFonts w:hint="eastAsia"/>
          <w:lang w:eastAsia="zh-CN"/>
        </w:rPr>
      </w:pPr>
      <w:r>
        <w:rPr>
          <w:rFonts w:hint="eastAsia"/>
          <w:lang w:eastAsia="zh-CN"/>
        </w:rPr>
        <w:t>您提出的《关于进一步完善中小学职业体验中心建设，深化职普融通的建议》</w:t>
      </w:r>
      <w:r>
        <w:rPr>
          <w:rFonts w:hint="eastAsia"/>
        </w:rPr>
        <w:t>的提案</w:t>
      </w:r>
      <w:r>
        <w:rPr>
          <w:rFonts w:hint="eastAsia"/>
          <w:lang w:eastAsia="zh-CN"/>
        </w:rPr>
        <w:t>收悉。现答复如下：</w:t>
      </w:r>
    </w:p>
    <w:p w14:paraId="7D9A874D">
      <w:pPr>
        <w:pStyle w:val="15"/>
        <w:bidi w:val="0"/>
        <w:rPr>
          <w:rFonts w:hint="eastAsia"/>
          <w:lang w:val="en-US" w:eastAsia="zh-CN"/>
        </w:rPr>
      </w:pPr>
      <w:r>
        <w:rPr>
          <w:rFonts w:hint="eastAsia"/>
          <w:lang w:val="en-US" w:eastAsia="zh-CN"/>
        </w:rPr>
        <w:t>开展职业体验教育，深化普职融通，是贯彻落实《国家职业教育改革实施方案》《江苏省教育厅关于加强中小学职业体验教育的指导意见》精神，建立与完善基础教育阶段职业启蒙教育内容体系的重要途径。近年来苏州市以更好地满足人民群众个性化、多样化教育需求为目标，积极推动“更高质量、更加多样、更具特色、更广覆盖”的高中阶段普职教育的协调发展，基本形成了以“融合共通、双翼共进”为内核的普职协调发展局面。</w:t>
      </w:r>
    </w:p>
    <w:p w14:paraId="27402C4A">
      <w:pPr>
        <w:pStyle w:val="15"/>
        <w:bidi w:val="0"/>
        <w:rPr>
          <w:rFonts w:hint="eastAsia"/>
          <w:lang w:val="en-US" w:eastAsia="zh-CN"/>
        </w:rPr>
      </w:pPr>
      <w:r>
        <w:rPr>
          <w:rStyle w:val="23"/>
          <w:rFonts w:hint="eastAsia"/>
          <w:lang w:val="en-US" w:eastAsia="zh-CN"/>
        </w:rPr>
        <w:t>一是加大财政投入，完善职业体验中心建设。</w:t>
      </w:r>
      <w:r>
        <w:rPr>
          <w:rFonts w:hint="eastAsia"/>
          <w:lang w:val="en-US" w:eastAsia="zh-CN"/>
        </w:rPr>
        <w:t>自2019年以来，苏州市陆续认定了54个市级中小学职业体验中心，其中49个顺利获批为省级。涉及28所职业院校，开发体验项目500余个，引导学生通过优质职业课程形成的体验项目，感受多彩职业文化，在孩子心中种下工匠精神的种子。近年来，苏州市财政局积极配合教育部门推进中小学职业体验中心建设，2025年安排维修项目资金2050万元，统筹用于场地建设、设备购置等方面，为职业体验项目的开展提供了有力保障，推动现有体验项目不断优化升级，逐步形成更多高质量课程。同时，鼓励职业学校结合苏州产业特色开发优质体验课程。支持学校引入企业资源，并利用好教育基金会，多方筹措，共同开发贴近苏州产业结构和未来产业布局的课程，提升学生对苏州特色产业的认知与兴趣。</w:t>
      </w:r>
    </w:p>
    <w:p w14:paraId="38AB9D9F">
      <w:pPr>
        <w:pStyle w:val="15"/>
        <w:bidi w:val="0"/>
        <w:rPr>
          <w:rFonts w:hint="default"/>
          <w:lang w:val="en-US" w:eastAsia="zh-CN"/>
        </w:rPr>
      </w:pPr>
      <w:r>
        <w:rPr>
          <w:rStyle w:val="23"/>
          <w:rFonts w:hint="eastAsia"/>
          <w:lang w:val="en-US" w:eastAsia="zh-CN"/>
        </w:rPr>
        <w:t>二是畅通成长渠道，搭建人才培养“立交桥”。</w:t>
      </w:r>
      <w:r>
        <w:rPr>
          <w:rFonts w:hint="eastAsia"/>
          <w:lang w:val="en-US" w:eastAsia="zh-CN"/>
        </w:rPr>
        <w:t>根据苏州产业升级和技术变革对技能人才的新需求优化普职资源，整合职业院校优质课程资源，开发针对中小学的职业教育课程包，通过职业活动周、校园开放日、专题讲座等方式，开展中小学职业启蒙与职业认知教育。通过五年制高职一体化培养、中职与本科“3+4”分段培养、高职与本科“5+2”分段培养、中职毕业生免试注册入学、高职学生“专转本”等途径，构建了以职教本科为引领、以高职为主体、以中职为基础的现代职业教育体系，畅通了中职学校学生成长、成才通道，形成中职、高职、本科层次职业教育一体化协同发展机制，满足了中职学生升学需求。当前，在苏州，职业教育与普通教育、学历教育与非学历教育相互衔接的人才培养“立交桥”正在逐步形成。</w:t>
      </w:r>
    </w:p>
    <w:p w14:paraId="75572566">
      <w:pPr>
        <w:pStyle w:val="15"/>
        <w:bidi w:val="0"/>
        <w:rPr>
          <w:rFonts w:hint="eastAsia"/>
          <w:lang w:val="en-US" w:eastAsia="zh-CN"/>
        </w:rPr>
      </w:pPr>
      <w:r>
        <w:rPr>
          <w:rStyle w:val="23"/>
          <w:rFonts w:hint="eastAsia"/>
          <w:lang w:val="en-US" w:eastAsia="zh-CN"/>
        </w:rPr>
        <w:t>三是开展体验活动，点亮学生职业理想。</w:t>
      </w:r>
      <w:r>
        <w:rPr>
          <w:rFonts w:hint="eastAsia"/>
          <w:lang w:val="en-US" w:eastAsia="zh-CN"/>
        </w:rPr>
        <w:t>近年来，越来越多的苏州职业院校敞开校门和实训室，邀请初中生走进职业学校亲身体验教学与实训一体的教学方式，并积极开展各式各样的职业体验活动和职业启蒙课程，将职业教育发展的新面貌、新技术、新课程与中小学生、家长们共享，引导学生树立职业理想，规划制定个性化职业目标。如苏州高等职业技术学校电子科技应用职业体验中心精心设计了包含5G通信技术、智能电子产品、医疗仪器设备、光伏发电技术、无人机操控在内的</w:t>
      </w:r>
      <w:bookmarkStart w:id="0" w:name="_GoBack"/>
      <w:bookmarkEnd w:id="0"/>
      <w:r>
        <w:rPr>
          <w:rFonts w:hint="eastAsia"/>
          <w:lang w:val="en-US" w:eastAsia="zh-CN"/>
        </w:rPr>
        <w:t>多个体验项目，学生通过普职融通的生动实践和创新的行动方式，共同探索了一条旨在培养技能拔尖创新人才的新路径。苏州农业职业技术学院“现代园艺职业体验中心”专为中小学生打造了学习与娱乐相结合的园艺实践活动；苏州经贸职业技术学院电子商务智慧运营中小学生职业体验中心大力开展“碧螺春茶”直播体验、“枫彩少年”组团来校“上大学”“苏小报”记者“直播卖货”等主题活动；常熟滨江职业技术学校充分发挥声学职业体验中心功能，为区域周边9所中学学生提供产业科普和职业体验教育等。</w:t>
      </w:r>
    </w:p>
    <w:p w14:paraId="197E4782">
      <w:pPr>
        <w:pStyle w:val="15"/>
        <w:bidi w:val="0"/>
        <w:rPr>
          <w:rFonts w:hint="eastAsia"/>
          <w:lang w:val="en-US" w:eastAsia="zh-CN"/>
        </w:rPr>
      </w:pPr>
      <w:r>
        <w:rPr>
          <w:rFonts w:hint="eastAsia"/>
          <w:lang w:val="en-US" w:eastAsia="zh-CN"/>
        </w:rPr>
        <w:t>您的建议给了我们很大的启发，下一步我市将紧紧围绕立德树人根本任务，建立中小学生职业体验的常态化、长效化机制。加强资金支持，推进职业学校体验课程和优质体验课程建设。拓展覆盖面，让更多的职业学校和普通教育学校加入中小学生的职业体验项目中来。深化普职融通内涵，开展全方位、多层次、多领域的合作，优势互补，真正实现“双向奔赴”，让学生能够更加清晰、具体地进行人生职业生涯规划，让他们的选择更加多元、丰富，自觉选择适合自己的路、做自己喜欢的事、将来从事自己喜爱的职业。让每一个学生找到人生目标、发现人生意义，更加热爱生活、热爱专业，匠心筑梦，技能成才，为社会创造价值。</w:t>
      </w:r>
    </w:p>
    <w:p w14:paraId="4C965813">
      <w:pPr>
        <w:pStyle w:val="15"/>
        <w:bidi w:val="0"/>
      </w:pPr>
      <w:r>
        <w:rPr>
          <w:rFonts w:hint="eastAsia"/>
        </w:rPr>
        <w:t>最后</w:t>
      </w:r>
      <w:r>
        <w:t>，</w:t>
      </w:r>
      <w:r>
        <w:rPr>
          <w:rFonts w:hint="eastAsia"/>
        </w:rPr>
        <w:t>感谢您</w:t>
      </w:r>
      <w:r>
        <w:t>对教育的理解和支持！</w:t>
      </w:r>
    </w:p>
    <w:p w14:paraId="37EEBDA8">
      <w:pPr>
        <w:ind w:firstLine="640" w:firstLineChars="200"/>
        <w:rPr>
          <w:rFonts w:ascii="仿宋" w:hAnsi="仿宋" w:eastAsia="仿宋"/>
          <w:sz w:val="32"/>
          <w:szCs w:val="32"/>
        </w:rPr>
      </w:pPr>
    </w:p>
    <w:p w14:paraId="06C92603">
      <w:pPr>
        <w:ind w:firstLine="640" w:firstLineChars="200"/>
        <w:rPr>
          <w:rFonts w:ascii="仿宋" w:hAnsi="仿宋" w:eastAsia="仿宋"/>
          <w:sz w:val="32"/>
          <w:szCs w:val="32"/>
        </w:rPr>
      </w:pPr>
    </w:p>
    <w:p w14:paraId="51AB5EEE">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14ECA834">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25</w:t>
      </w:r>
      <w:r>
        <w:rPr>
          <w:rFonts w:ascii="仿宋" w:hAnsi="仿宋" w:eastAsia="仿宋"/>
          <w:sz w:val="32"/>
          <w:szCs w:val="32"/>
        </w:rPr>
        <w:t>日</w:t>
      </w:r>
    </w:p>
    <w:p w14:paraId="075F2F87">
      <w:pPr>
        <w:rPr>
          <w:rFonts w:ascii="仿宋" w:hAnsi="仿宋" w:eastAsia="仿宋"/>
          <w:sz w:val="32"/>
          <w:szCs w:val="32"/>
        </w:rPr>
      </w:pPr>
    </w:p>
    <w:p w14:paraId="5CAF414B">
      <w:pPr>
        <w:rPr>
          <w:rFonts w:ascii="仿宋" w:hAnsi="仿宋" w:eastAsia="仿宋"/>
          <w:sz w:val="32"/>
          <w:szCs w:val="32"/>
        </w:rPr>
      </w:pPr>
    </w:p>
    <w:p w14:paraId="1D25A7DB">
      <w:pPr>
        <w:rPr>
          <w:rFonts w:ascii="仿宋" w:hAnsi="仿宋" w:eastAsia="仿宋"/>
          <w:sz w:val="32"/>
          <w:szCs w:val="32"/>
        </w:rPr>
      </w:pPr>
    </w:p>
    <w:p w14:paraId="7A785EA1">
      <w:pPr>
        <w:rPr>
          <w:rFonts w:ascii="仿宋" w:hAnsi="仿宋" w:eastAsia="仿宋"/>
          <w:sz w:val="32"/>
          <w:szCs w:val="32"/>
        </w:rPr>
      </w:pPr>
    </w:p>
    <w:p w14:paraId="713289D7">
      <w:pPr>
        <w:rPr>
          <w:rFonts w:ascii="仿宋" w:hAnsi="仿宋" w:eastAsia="仿宋"/>
          <w:sz w:val="32"/>
          <w:szCs w:val="32"/>
        </w:rPr>
      </w:pPr>
    </w:p>
    <w:p w14:paraId="14280703">
      <w:pPr>
        <w:rPr>
          <w:rFonts w:ascii="仿宋" w:hAnsi="仿宋" w:eastAsia="仿宋"/>
          <w:sz w:val="32"/>
          <w:szCs w:val="32"/>
        </w:rPr>
      </w:pPr>
    </w:p>
    <w:p w14:paraId="4AAB2F60">
      <w:pPr>
        <w:rPr>
          <w:rFonts w:ascii="仿宋" w:hAnsi="仿宋" w:eastAsia="仿宋"/>
          <w:sz w:val="32"/>
          <w:szCs w:val="32"/>
        </w:rPr>
      </w:pPr>
    </w:p>
    <w:p w14:paraId="69C4EE10">
      <w:pPr>
        <w:rPr>
          <w:rFonts w:ascii="仿宋" w:hAnsi="仿宋" w:eastAsia="仿宋"/>
          <w:sz w:val="32"/>
          <w:szCs w:val="32"/>
        </w:rPr>
      </w:pPr>
    </w:p>
    <w:p w14:paraId="20742A27">
      <w:pPr>
        <w:rPr>
          <w:rFonts w:ascii="仿宋" w:hAnsi="仿宋" w:eastAsia="仿宋"/>
          <w:sz w:val="32"/>
          <w:szCs w:val="32"/>
        </w:rPr>
      </w:pPr>
    </w:p>
    <w:p w14:paraId="15EA2DCF">
      <w:pPr>
        <w:rPr>
          <w:rFonts w:ascii="仿宋" w:hAnsi="仿宋" w:eastAsia="仿宋"/>
          <w:sz w:val="32"/>
          <w:szCs w:val="32"/>
        </w:rPr>
      </w:pPr>
    </w:p>
    <w:p w14:paraId="4DDFFFC4">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78018698">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387D6BEA">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eastAsia="仿宋"/>
          <w:color w:val="0000FF"/>
          <w:sz w:val="32"/>
          <w:szCs w:val="32"/>
          <w:lang w:eastAsia="zh-CN"/>
        </w:rPr>
      </w:pPr>
      <w:r>
        <w:rPr>
          <w:rFonts w:hint="eastAsia"/>
        </w:rPr>
        <w:t>抄</w:t>
      </w:r>
      <w:r>
        <w:t xml:space="preserve">      </w:t>
      </w:r>
      <w:r>
        <w:rPr>
          <w:rFonts w:hint="eastAsia"/>
        </w:rPr>
        <w:t>送：市政府办公室、市政协提案委</w:t>
      </w:r>
      <w:r>
        <w:rPr>
          <w:rFonts w:hint="eastAsia"/>
          <w:lang w:eastAsia="zh-CN"/>
        </w:rPr>
        <w:t>、市财政局</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E1F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A26754">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0DA26754">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819B">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p w14:paraId="1267E20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8932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43B5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6C877AE8"/>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20E62BD1"/>
    <w:rsid w:val="21486514"/>
    <w:rsid w:val="294F1BAF"/>
    <w:rsid w:val="2CFF3CE2"/>
    <w:rsid w:val="3976657B"/>
    <w:rsid w:val="49E46575"/>
    <w:rsid w:val="4BEB6189"/>
    <w:rsid w:val="54542900"/>
    <w:rsid w:val="61A7456F"/>
    <w:rsid w:val="61CD07DD"/>
    <w:rsid w:val="64AB7555"/>
    <w:rsid w:val="67302657"/>
    <w:rsid w:val="6C877AE8"/>
    <w:rsid w:val="751065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rFonts w:ascii="Times New Roman" w:hAnsi="Times New Roman" w:eastAsia="宋体" w:cs="Times New Roman"/>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1717</Words>
  <Characters>1754</Characters>
  <Lines>1</Lines>
  <Paragraphs>1</Paragraphs>
  <TotalTime>1</TotalTime>
  <ScaleCrop>false</ScaleCrop>
  <LinksUpToDate>false</LinksUpToDate>
  <CharactersWithSpaces>1779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2025-06-26T07:32:00Z</dcterms:created>
  <dc:creator>琪思喵相</dc:creator>
  <cp:keywords>JYJBGS</cp:keywords>
  <cp:lastModifiedBy>琪思喵相</cp:lastModifiedBy>
  <dcterms:modified xsi:type="dcterms:W3CDTF">2025-06-26T07:35:12Z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F629537016D74FC787B62DE9E3B416FF_11</vt:lpwstr>
  </property>
  <property fmtid="{D5CDD505-2E9C-101B-9397-08002B2CF9AE}" pid="4" name="KSOTemplateDocerSaveRecord">
    <vt:lpwstr>eyJoZGlkIjoiYzg3YTJjMjUwZGEyZjJiODFhMTlhYmEzNjdhOWVlZTUiLCJ1c2VySWQiOiI2Nzc3OTk0In0=</vt:lpwstr>
  </property>
</Properties>
</file>