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7512B">
      <w:pPr>
        <w:spacing w:line="600" w:lineRule="exact"/>
        <w:jc w:val="right"/>
        <w:rPr>
          <w:rFonts w:hint="eastAsia" w:ascii="黑体" w:hAnsi="黑体" w:eastAsia="黑体" w:cs="Times New Roman"/>
          <w:w w:val="120"/>
          <w:kern w:val="0"/>
          <w:sz w:val="32"/>
          <w:szCs w:val="32"/>
        </w:rPr>
      </w:pPr>
      <w:r>
        <w:rPr>
          <w:rFonts w:hint="eastAsia" w:ascii="黑体" w:hAnsi="黑体" w:eastAsia="黑体" w:cs="Times New Roman"/>
          <w:w w:val="120"/>
          <w:kern w:val="0"/>
          <w:sz w:val="32"/>
          <w:szCs w:val="32"/>
        </w:rPr>
        <w:t>〔</w:t>
      </w:r>
      <w:r>
        <w:rPr>
          <w:rFonts w:hint="eastAsia" w:ascii="黑体" w:hAnsi="黑体" w:eastAsia="黑体"/>
          <w:w w:val="120"/>
          <w:kern w:val="0"/>
          <w:sz w:val="32"/>
          <w:szCs w:val="32"/>
        </w:rPr>
        <w:t>A</w:t>
      </w:r>
      <w:r>
        <w:rPr>
          <w:rFonts w:hint="eastAsia" w:ascii="黑体" w:hAnsi="黑体" w:eastAsia="黑体" w:cs="Times New Roman"/>
          <w:w w:val="120"/>
          <w:kern w:val="0"/>
          <w:sz w:val="32"/>
          <w:szCs w:val="32"/>
        </w:rPr>
        <w:t>〕</w:t>
      </w:r>
    </w:p>
    <w:p w14:paraId="3A5CA744">
      <w:pPr>
        <w:pStyle w:val="4"/>
        <w:bidi w:val="0"/>
        <w:rPr>
          <w:rFonts w:hint="eastAsia"/>
        </w:rPr>
      </w:pPr>
    </w:p>
    <w:p w14:paraId="77953B04">
      <w:pPr>
        <w:spacing w:line="1300" w:lineRule="exact"/>
        <w:ind w:left="546" w:leftChars="260" w:right="544" w:rightChars="259"/>
        <w:jc w:val="distribute"/>
        <w:rPr>
          <w:rFonts w:ascii="方正小标宋简体" w:eastAsia="方正小标宋简体"/>
          <w:color w:val="FF0000"/>
          <w:w w:val="80"/>
          <w:sz w:val="96"/>
          <w:szCs w:val="96"/>
        </w:rPr>
      </w:pPr>
      <w:r>
        <w:rPr>
          <w:rFonts w:hint="eastAsia" w:ascii="方正小标宋简体" w:eastAsia="方正小标宋简体"/>
          <w:color w:val="FF0000"/>
          <w:w w:val="80"/>
          <w:sz w:val="96"/>
          <w:szCs w:val="96"/>
        </w:rPr>
        <w:t>苏州市教育局</w:t>
      </w:r>
    </w:p>
    <w:p w14:paraId="156049F4">
      <w:pPr>
        <w:spacing w:line="460" w:lineRule="exact"/>
        <w:jc w:val="center"/>
        <w:rPr>
          <w:rFonts w:ascii="Times New Roman"/>
          <w:sz w:val="32"/>
          <w:szCs w:val="32"/>
          <w:lang/>
        </w:rPr>
      </w:pPr>
    </w:p>
    <w:p w14:paraId="17466A62">
      <w:pPr>
        <w:spacing w:line="570" w:lineRule="exact"/>
        <w:ind w:firstLine="320" w:firstLineChars="100"/>
        <w:jc w:val="center"/>
        <w:rPr>
          <w:rFonts w:hint="eastAsia" w:ascii="仿宋" w:hAnsi="仿宋" w:eastAsia="仿宋" w:cs="仿宋"/>
          <w:snapToGrid w:val="0"/>
          <w:kern w:val="0"/>
          <w:sz w:val="32"/>
          <w:szCs w:val="32"/>
          <w:lang w:eastAsia="zh-CN"/>
        </w:rPr>
      </w:pP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eastAsia="zh-CN"/>
        </w:rPr>
        <w:t>2025</w:t>
      </w: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rPr>
        <w:t>苏教办复第</w:t>
      </w:r>
      <w:r>
        <w:rPr>
          <w:rFonts w:hint="eastAsia" w:ascii="仿宋" w:hAnsi="仿宋" w:eastAsia="仿宋" w:cs="仿宋"/>
          <w:snapToGrid w:val="0"/>
          <w:kern w:val="0"/>
          <w:sz w:val="32"/>
          <w:szCs w:val="32"/>
          <w:lang w:val="en-US" w:eastAsia="zh-CN"/>
        </w:rPr>
        <w:t>160</w:t>
      </w:r>
      <w:r>
        <w:rPr>
          <w:rFonts w:hint="eastAsia" w:ascii="仿宋" w:hAnsi="仿宋" w:eastAsia="仿宋" w:cs="仿宋"/>
          <w:snapToGrid w:val="0"/>
          <w:kern w:val="0"/>
          <w:sz w:val="32"/>
          <w:szCs w:val="32"/>
          <w:lang/>
        </w:rPr>
        <w:t xml:space="preserve">号                 </w:t>
      </w:r>
      <w:r>
        <w:rPr>
          <w:rFonts w:hint="eastAsia" w:ascii="仿宋" w:hAnsi="仿宋" w:eastAsia="仿宋" w:cs="仿宋"/>
          <w:sz w:val="32"/>
          <w:szCs w:val="32"/>
        </w:rPr>
        <w:t>签发：</w:t>
      </w:r>
      <w:r>
        <w:rPr>
          <w:rFonts w:hint="eastAsia" w:ascii="仿宋" w:hAnsi="仿宋" w:eastAsia="仿宋" w:cs="仿宋"/>
          <w:sz w:val="32"/>
          <w:szCs w:val="32"/>
          <w:lang w:eastAsia="zh-CN"/>
        </w:rPr>
        <w:t>周志芳</w:t>
      </w:r>
    </w:p>
    <w:p w14:paraId="2A0B8B05">
      <w:pPr>
        <w:spacing w:line="570" w:lineRule="exact"/>
        <w:jc w:val="center"/>
        <w:rPr>
          <w:rFonts w:ascii="Times New Roman" w:eastAsia="仿宋"/>
          <w:snapToGrid w:val="0"/>
          <w:kern w:val="0"/>
          <w:sz w:val="32"/>
          <w:szCs w:val="32"/>
          <w:lang/>
        </w:rPr>
      </w:pPr>
      <w:r>
        <w:rPr>
          <w:rFonts w:ascii="Times New Roman" w:eastAsia="仿宋"/>
          <w:kern w:val="0"/>
          <w:sz w:val="32"/>
          <w:szCs w:val="32"/>
          <w:lang/>
        </w:rPr>
        <mc:AlternateContent>
          <mc:Choice Requires="wps">
            <w:drawing>
              <wp:anchor distT="0" distB="0" distL="114300" distR="114300" simplePos="0" relativeHeight="251659264" behindDoc="0" locked="0" layoutInCell="1" allowOverlap="1">
                <wp:simplePos x="0" y="0"/>
                <wp:positionH relativeFrom="column">
                  <wp:posOffset>19685</wp:posOffset>
                </wp:positionH>
                <wp:positionV relativeFrom="paragraph">
                  <wp:posOffset>60960</wp:posOffset>
                </wp:positionV>
                <wp:extent cx="5777230" cy="0"/>
                <wp:effectExtent l="0" t="9525" r="13970" b="13335"/>
                <wp:wrapNone/>
                <wp:docPr id="1" name="直线 4"/>
                <wp:cNvGraphicFramePr/>
                <a:graphic xmlns:a="http://schemas.openxmlformats.org/drawingml/2006/main">
                  <a:graphicData uri="http://schemas.microsoft.com/office/word/2010/wordprocessingShape">
                    <wps:wsp>
                      <wps:cNvSpPr/>
                      <wps:spPr>
                        <a:xfrm>
                          <a:off x="0" y="0"/>
                          <a:ext cx="577723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直线 4" o:spid="_x0000_s1026" o:spt="20" style="position:absolute;left:0pt;margin-left:1.55pt;margin-top:4.8pt;height:0pt;width:454.9pt;z-index:251659264;mso-width-relative:page;mso-height-relative:page;" filled="f" stroked="t" coordsize="21600,21600" o:gfxdata="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5H4H1AAA&#10;AAUBAAAPAAAAAAAAAAEAIAAAACIAAABkcnMvZG93bnJldi54bWxQSwECFAAUAAAACACHTuJAwFsN&#10;tekBAADcAwAADgAAAAAAAAABACAAAAAjAQAAZHJzL2Uyb0RvYy54bWxQSwUGAAAAAAYABgBZAQAA&#10;fgUAAAAA&#10;">
                <v:fill on="f" focussize="0,0"/>
                <v:stroke weight="1.5pt" color="#FF0000" joinstyle="round"/>
                <v:imagedata o:title=""/>
                <o:lock v:ext="edit" aspectratio="f"/>
              </v:line>
            </w:pict>
          </mc:Fallback>
        </mc:AlternateContent>
      </w:r>
    </w:p>
    <w:p w14:paraId="5DE1957C">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对市十</w:t>
      </w:r>
      <w:r>
        <w:rPr>
          <w:rFonts w:hint="eastAsia" w:ascii="方正小标宋简体" w:eastAsia="方正小标宋简体"/>
          <w:kern w:val="0"/>
          <w:sz w:val="44"/>
          <w:szCs w:val="44"/>
          <w:lang w:eastAsia="zh-CN"/>
        </w:rPr>
        <w:t>七</w:t>
      </w:r>
      <w:r>
        <w:rPr>
          <w:rFonts w:hint="eastAsia" w:ascii="方正小标宋简体" w:eastAsia="方正小标宋简体"/>
          <w:kern w:val="0"/>
          <w:sz w:val="44"/>
          <w:szCs w:val="44"/>
        </w:rPr>
        <w:t>届人大</w:t>
      </w:r>
      <w:r>
        <w:rPr>
          <w:rFonts w:hint="eastAsia" w:ascii="方正小标宋简体" w:eastAsia="方正小标宋简体"/>
          <w:kern w:val="0"/>
          <w:sz w:val="44"/>
          <w:szCs w:val="44"/>
          <w:lang w:val="en-US" w:eastAsia="zh-CN"/>
        </w:rPr>
        <w:t>四</w:t>
      </w:r>
      <w:r>
        <w:rPr>
          <w:rFonts w:hint="eastAsia" w:ascii="方正小标宋简体" w:eastAsia="方正小标宋简体"/>
          <w:kern w:val="0"/>
          <w:sz w:val="44"/>
          <w:szCs w:val="44"/>
        </w:rPr>
        <w:t>次会议</w:t>
      </w:r>
    </w:p>
    <w:p w14:paraId="2A3FE0FF">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第</w:t>
      </w:r>
      <w:r>
        <w:rPr>
          <w:rFonts w:hint="eastAsia" w:ascii="方正小标宋简体" w:eastAsia="方正小标宋简体"/>
          <w:kern w:val="0"/>
          <w:sz w:val="44"/>
          <w:szCs w:val="44"/>
          <w:lang w:val="en-US" w:eastAsia="zh-CN"/>
        </w:rPr>
        <w:t>0094</w:t>
      </w:r>
      <w:r>
        <w:rPr>
          <w:rFonts w:hint="eastAsia" w:ascii="方正小标宋简体" w:eastAsia="方正小标宋简体"/>
          <w:kern w:val="0"/>
          <w:sz w:val="44"/>
          <w:szCs w:val="44"/>
        </w:rPr>
        <w:t>号建议的答复</w:t>
      </w:r>
    </w:p>
    <w:p w14:paraId="38CCC946">
      <w:pPr>
        <w:rPr>
          <w:rFonts w:ascii="仿宋" w:hAnsi="仿宋" w:eastAsia="仿宋"/>
          <w:sz w:val="32"/>
          <w:szCs w:val="32"/>
        </w:rPr>
      </w:pPr>
    </w:p>
    <w:p w14:paraId="5F16F240">
      <w:pPr>
        <w:pStyle w:val="21"/>
        <w:bidi w:val="0"/>
        <w:rPr>
          <w:rFonts w:hint="eastAsia"/>
          <w:lang w:eastAsia="zh-CN"/>
        </w:rPr>
      </w:pPr>
      <w:r>
        <w:rPr>
          <w:rFonts w:hint="eastAsia"/>
          <w:lang w:eastAsia="zh-CN"/>
        </w:rPr>
        <w:t>龚胜强等</w:t>
      </w:r>
      <w:r>
        <w:rPr>
          <w:rFonts w:hint="eastAsia"/>
          <w:lang w:val="en-US" w:eastAsia="zh-CN"/>
        </w:rPr>
        <w:t>5</w:t>
      </w:r>
      <w:r>
        <w:rPr>
          <w:rFonts w:hint="eastAsia"/>
          <w:lang w:eastAsia="zh-CN"/>
        </w:rPr>
        <w:t>位</w:t>
      </w:r>
      <w:r>
        <w:rPr>
          <w:rFonts w:hint="eastAsia"/>
          <w:lang w:val="en-US" w:eastAsia="zh-CN"/>
        </w:rPr>
        <w:t>代表</w:t>
      </w:r>
      <w:r>
        <w:rPr>
          <w:rFonts w:hint="eastAsia"/>
          <w:lang w:eastAsia="zh-CN"/>
        </w:rPr>
        <w:t>：</w:t>
      </w:r>
    </w:p>
    <w:p w14:paraId="14B9FD9D">
      <w:pPr>
        <w:pStyle w:val="15"/>
        <w:bidi w:val="0"/>
        <w:rPr>
          <w:rFonts w:hint="eastAsia"/>
          <w:lang w:eastAsia="zh-CN"/>
        </w:rPr>
      </w:pPr>
      <w:r>
        <w:rPr>
          <w:rFonts w:hint="eastAsia"/>
          <w:lang w:eastAsia="zh-CN"/>
        </w:rPr>
        <w:t>你们提出的《关于进一步加强中小学劳动教育的建议》收悉。现答复如下：</w:t>
      </w:r>
    </w:p>
    <w:p w14:paraId="5562D6A0">
      <w:pPr>
        <w:pStyle w:val="15"/>
        <w:bidi w:val="0"/>
        <w:rPr>
          <w:rFonts w:hint="default"/>
          <w:lang w:val="en-US" w:eastAsia="zh-CN"/>
        </w:rPr>
      </w:pPr>
      <w:r>
        <w:rPr>
          <w:rFonts w:hint="eastAsia"/>
        </w:rPr>
        <w:t>劳动教育是学生德智体美劳全面发展的主要内容之一，是中国特色社会主义教育制度的重要内容，具有树德、增智、强体、育美的综合育人价值，决定着社会主义建设者和接班人的精神面貌、劳动价值取向和技能水平</w:t>
      </w:r>
      <w:r>
        <w:rPr>
          <w:rFonts w:hint="eastAsia"/>
          <w:lang w:eastAsia="zh-CN"/>
        </w:rPr>
        <w:t>，</w:t>
      </w:r>
      <w:r>
        <w:rPr>
          <w:rFonts w:hint="eastAsia"/>
          <w:lang w:val="en-US" w:eastAsia="zh-CN"/>
        </w:rPr>
        <w:t>我市高度重视劳动教育工作，</w:t>
      </w:r>
      <w:r>
        <w:rPr>
          <w:rFonts w:hint="eastAsia"/>
        </w:rPr>
        <w:t>致力打造</w:t>
      </w:r>
      <w:r>
        <w:t>具有时代气息、苏州特色的劳动教育新格局</w:t>
      </w:r>
      <w:r>
        <w:rPr>
          <w:rFonts w:hint="eastAsia"/>
        </w:rPr>
        <w:t>、新特色。</w:t>
      </w:r>
    </w:p>
    <w:p w14:paraId="3AC3B55D">
      <w:pPr>
        <w:pStyle w:val="15"/>
        <w:bidi w:val="0"/>
        <w:rPr>
          <w:rFonts w:hint="eastAsia"/>
          <w:lang w:val="en-US" w:eastAsia="zh-CN"/>
        </w:rPr>
      </w:pPr>
      <w:r>
        <w:rPr>
          <w:rStyle w:val="23"/>
          <w:rFonts w:hint="eastAsia"/>
          <w:lang w:val="en-US" w:eastAsia="zh-CN"/>
        </w:rPr>
        <w:t>一是完善制度体系，深耕课程建设。</w:t>
      </w:r>
      <w:r>
        <w:rPr>
          <w:rFonts w:hint="eastAsia"/>
          <w:lang w:val="en-US" w:eastAsia="zh-CN"/>
        </w:rPr>
        <w:t>严格按照《义务教育劳动课程标准（2022年版）》的要求，设立劳动教育必修课，确保义务教育阶段劳动教育课时。加强课程资源开发，开展劳动优课及劳动教育优质融合课评比，并持续推进劳动教育信息化、数字化，打造百门劳动精品课程资源库，遴选打造优质课程、区域特色劳动教育微课，作为劳动教育指导课程资源上线苏州市线上教育中心，供全市中小学校学习使用。</w:t>
      </w:r>
    </w:p>
    <w:p w14:paraId="246D8BF2">
      <w:pPr>
        <w:pStyle w:val="15"/>
        <w:bidi w:val="0"/>
        <w:rPr>
          <w:rFonts w:hint="eastAsia"/>
          <w:lang w:val="en-US" w:eastAsia="zh-CN"/>
        </w:rPr>
      </w:pPr>
      <w:r>
        <w:rPr>
          <w:rStyle w:val="23"/>
          <w:rFonts w:hint="eastAsia" w:hAnsi="Times New Roman" w:cs="Times New Roman"/>
          <w:lang w:val="en-US" w:eastAsia="zh-CN"/>
        </w:rPr>
        <w:t>二是强化价值引领，深化学科融合</w:t>
      </w:r>
      <w:r>
        <w:rPr>
          <w:rFonts w:hint="eastAsia"/>
          <w:lang w:val="en-US" w:eastAsia="zh-CN"/>
        </w:rPr>
        <w:t>。大力宣传马克思主义劳动观和正确的劳动观念，加强劳动教育科学研究，宣传推广劳动教育典型经验。指导学校根据自身条件，统筹传统阵地与现代媒体，通过黑板报、宣传橱窗、校园广播、校园电子屏、微信平台等精心设计、编排，营造浓厚的劳动教育文化氛围，以文化人，形成尊重劳动、热爱劳动的良好风尚。结合学雷锋纪念日、植树节、劳动节、丰收节、志愿者日等重要节假日开展劳动主题教育；开展劳动模范、大国工匠、科学家等先进人物进校园活动，组织劳动文化讲堂；开展劳动技能和成果展示、劳动竞赛等活动，培育劳动光荣、创造伟大的校园劳动文化。</w:t>
      </w:r>
    </w:p>
    <w:p w14:paraId="00C4A7BA">
      <w:pPr>
        <w:pStyle w:val="15"/>
        <w:bidi w:val="0"/>
        <w:rPr>
          <w:rFonts w:hint="eastAsia"/>
          <w:lang w:val="en-US" w:eastAsia="zh-CN"/>
        </w:rPr>
      </w:pPr>
      <w:r>
        <w:rPr>
          <w:rStyle w:val="23"/>
          <w:rFonts w:hint="eastAsia" w:hAnsi="Times New Roman" w:cs="Times New Roman"/>
          <w:lang w:val="en-US" w:eastAsia="zh-CN"/>
        </w:rPr>
        <w:t>三是推进家校协同，凝聚育人合力</w:t>
      </w:r>
      <w:r>
        <w:rPr>
          <w:rFonts w:hint="eastAsia"/>
          <w:lang w:val="en-US" w:eastAsia="zh-CN"/>
        </w:rPr>
        <w:t>。家庭是孩子劳动教育的“第一课堂”，家长是孩子劳动教育的“第一任教师”。依托苏州市中小学家庭教育研究与指导中心、各级家长学校等，通过开发课程、讲座沙龙、现场面询等方式帮助家长掌握家庭劳动教育的科学方法。各地各校通过开发家庭劳动教育清单、发放家庭劳动“护照”等方式，合理安排家庭劳动作业，落实家庭劳动教育基本责任。推进家校社协同，打通街道社区资源，建设“美丽菜园”亲子劳动基地。加强家庭劳动教育，开展“爱家爱劳动，亲子共成长”主题活动，征集到8000多份作品。</w:t>
      </w:r>
    </w:p>
    <w:p w14:paraId="01D27077">
      <w:pPr>
        <w:pStyle w:val="15"/>
        <w:bidi w:val="0"/>
        <w:rPr>
          <w:rFonts w:hint="eastAsia"/>
          <w:lang w:val="en-US" w:eastAsia="zh-CN"/>
        </w:rPr>
      </w:pPr>
      <w:r>
        <w:rPr>
          <w:rStyle w:val="23"/>
          <w:rFonts w:hint="eastAsia" w:hAnsi="Times New Roman" w:cs="Times New Roman"/>
          <w:lang w:val="en-US" w:eastAsia="zh-CN"/>
        </w:rPr>
        <w:t>四是拓展实践阵地，推进校社协同</w:t>
      </w:r>
      <w:r>
        <w:rPr>
          <w:rFonts w:hint="eastAsia"/>
          <w:lang w:val="en-US" w:eastAsia="zh-CN"/>
        </w:rPr>
        <w:t>。分步建设了一批学工、学农、服务性校内外劳动实践场所。建设县级市（区）劳动教育综合实践学校（基地），研制具有苏州特色劳动实践基地建设标准，建设遴选</w:t>
      </w:r>
      <w:r>
        <w:rPr>
          <w:rFonts w:hint="default"/>
          <w:lang w:val="en-US" w:eastAsia="zh-CN"/>
        </w:rPr>
        <w:t>126</w:t>
      </w:r>
      <w:r>
        <w:rPr>
          <w:rFonts w:hint="eastAsia"/>
          <w:lang w:val="en-US" w:eastAsia="zh-CN"/>
        </w:rPr>
        <w:t>家“苏州市中小学劳动教育实践基地”，涵盖非遗手工传习、工农业实践、智能科创、现代服务、职业体验5大类型。将全市168家社会实践体验站作为打造“家门口劳动体验圈”的重要载体，充分利用在城市和乡村林立的博物馆、科技馆、生态园、工作室，引导学生开展家门口的劳动实践体验。</w:t>
      </w:r>
      <w:r>
        <w:rPr>
          <w:rFonts w:hint="default"/>
          <w:lang w:val="en-US" w:eastAsia="zh-CN"/>
        </w:rPr>
        <w:t>2024</w:t>
      </w:r>
      <w:r>
        <w:rPr>
          <w:rFonts w:hint="eastAsia"/>
          <w:lang w:val="en-US" w:eastAsia="zh-CN"/>
        </w:rPr>
        <w:t>年上线“苏州市中小学劳动教育实践基地”平台，实现基地展示、课程发布、预约、记录、反馈等功能。开展苏州市中小学劳动教育实践基地与学校结对、加强课程建设工作。</w:t>
      </w:r>
    </w:p>
    <w:p w14:paraId="67A0D0B3">
      <w:pPr>
        <w:pStyle w:val="15"/>
        <w:bidi w:val="0"/>
        <w:rPr>
          <w:rFonts w:hint="eastAsia"/>
          <w:lang w:val="en-US" w:eastAsia="zh-CN"/>
        </w:rPr>
      </w:pPr>
      <w:r>
        <w:rPr>
          <w:rStyle w:val="23"/>
          <w:rFonts w:hint="eastAsia" w:hAnsi="Times New Roman" w:cs="Times New Roman"/>
          <w:lang w:val="en-US" w:eastAsia="zh-CN"/>
        </w:rPr>
        <w:t>五是健全评价机制，赋能学生成长</w:t>
      </w:r>
      <w:r>
        <w:rPr>
          <w:rFonts w:hint="eastAsia"/>
          <w:lang w:val="en-US" w:eastAsia="zh-CN"/>
        </w:rPr>
        <w:t>。苏州市委、市政府在全省率先发布了《苏州市深化新时代教育评价改革实施方案》，明确加强劳动教育评价，将学生参与劳动教育课程学习和实践情况作为衡量学生全面发展情况的重要内容。利用“苏州中小学社会实践（志愿服务）管理平台”全面记录全市中小学生的劳动实践情况，将相关记录纳入中小学生综合素质评价档案。每年定期组织全市范围的义务教育质量监测，对学生德智体美劳方面开展全方位的监测并发布专项报告，提供科学决策依据。</w:t>
      </w:r>
    </w:p>
    <w:p w14:paraId="3C776A03">
      <w:pPr>
        <w:pStyle w:val="15"/>
        <w:bidi w:val="0"/>
        <w:rPr>
          <w:rFonts w:hint="eastAsia"/>
        </w:rPr>
      </w:pPr>
      <w:r>
        <w:rPr>
          <w:rFonts w:hint="eastAsia"/>
          <w:lang w:val="en-US" w:eastAsia="zh-CN"/>
        </w:rPr>
        <w:t>您的建议对我们工作有很大启发。下一步，我们将持续深化劳动教育工作，进一步巩固现有成果，不断探索创新劳动教育的方式方法。加强对劳动教育工作的督导检查，确保各项劳动教育举措落实到位。加强学科融合，将劳动价值观贯穿到中小学劳动教育的各个阶段。加大对劳动教育的投入，改善劳动教育实践场所的条件和设施，为学生提供更优质的劳动教育资源。完善学校家庭沟通机制，推进“家校社”教联体建设。培养德智体美劳全面发展的社会主义建设者和接班人。完善评价体系，记录学生劳动过程，帮助学生形成劳动成长图谱。</w:t>
      </w:r>
    </w:p>
    <w:p w14:paraId="2A6D8E18">
      <w:pPr>
        <w:pStyle w:val="15"/>
        <w:bidi w:val="0"/>
      </w:pPr>
      <w:r>
        <w:rPr>
          <w:rFonts w:hint="eastAsia"/>
        </w:rPr>
        <w:t>最后</w:t>
      </w:r>
      <w:r>
        <w:t>，</w:t>
      </w:r>
      <w:r>
        <w:rPr>
          <w:rFonts w:hint="eastAsia"/>
        </w:rPr>
        <w:t>感谢您</w:t>
      </w:r>
      <w:r>
        <w:t>对教育的理解和支持！</w:t>
      </w:r>
    </w:p>
    <w:p w14:paraId="290303BE">
      <w:pPr>
        <w:ind w:firstLine="640" w:firstLineChars="200"/>
        <w:rPr>
          <w:rFonts w:ascii="仿宋" w:hAnsi="仿宋" w:eastAsia="仿宋"/>
          <w:sz w:val="32"/>
          <w:szCs w:val="32"/>
        </w:rPr>
      </w:pPr>
    </w:p>
    <w:p w14:paraId="2F33C833">
      <w:pPr>
        <w:ind w:firstLine="640" w:firstLineChars="200"/>
        <w:rPr>
          <w:rFonts w:ascii="仿宋" w:hAnsi="仿宋" w:eastAsia="仿宋"/>
          <w:sz w:val="32"/>
          <w:szCs w:val="32"/>
        </w:rPr>
      </w:pPr>
    </w:p>
    <w:p w14:paraId="4C3EE08F">
      <w:pPr>
        <w:ind w:firstLine="640" w:firstLineChars="200"/>
        <w:rPr>
          <w:rFonts w:ascii="仿宋" w:hAnsi="仿宋" w:eastAsia="仿宋"/>
          <w:sz w:val="32"/>
          <w:szCs w:val="32"/>
        </w:rPr>
      </w:pPr>
    </w:p>
    <w:p w14:paraId="559B61C6">
      <w:pPr>
        <w:wordWrap w:val="0"/>
        <w:ind w:right="1260" w:rightChars="600"/>
        <w:jc w:val="right"/>
        <w:rPr>
          <w:rFonts w:ascii="仿宋" w:hAnsi="仿宋" w:eastAsia="仿宋"/>
          <w:sz w:val="32"/>
          <w:szCs w:val="32"/>
        </w:rPr>
      </w:pPr>
      <w:r>
        <w:rPr>
          <w:rFonts w:ascii="仿宋" w:hAnsi="仿宋" w:eastAsia="仿宋"/>
          <w:sz w:val="32"/>
          <w:szCs w:val="32"/>
        </w:rPr>
        <w:t>苏州市教育局</w:t>
      </w:r>
    </w:p>
    <w:p w14:paraId="32B0220F">
      <w:pPr>
        <w:ind w:right="840" w:rightChars="400"/>
        <w:jc w:val="right"/>
        <w:rPr>
          <w:rFonts w:ascii="仿宋" w:hAnsi="仿宋" w:eastAsia="仿宋"/>
          <w:sz w:val="32"/>
          <w:szCs w:val="32"/>
        </w:rPr>
      </w:pPr>
      <w:r>
        <w:rPr>
          <w:rFonts w:hint="eastAsia" w:ascii="仿宋" w:hAnsi="仿宋" w:eastAsia="仿宋"/>
          <w:sz w:val="32"/>
          <w:szCs w:val="32"/>
          <w:lang w:eastAsia="zh-CN"/>
        </w:rPr>
        <w:t>2025</w:t>
      </w:r>
      <w:r>
        <w:rPr>
          <w:rFonts w:ascii="仿宋" w:hAnsi="仿宋" w:eastAsia="仿宋"/>
          <w:sz w:val="32"/>
          <w:szCs w:val="32"/>
        </w:rPr>
        <w:t>年</w:t>
      </w:r>
      <w:r>
        <w:rPr>
          <w:rFonts w:hint="eastAsia" w:ascii="仿宋" w:hAnsi="仿宋" w:eastAsia="仿宋"/>
          <w:sz w:val="32"/>
          <w:szCs w:val="32"/>
          <w:lang w:val="en-US" w:eastAsia="zh-CN"/>
        </w:rPr>
        <w:t>6</w:t>
      </w:r>
      <w:r>
        <w:rPr>
          <w:rFonts w:ascii="仿宋" w:hAnsi="仿宋" w:eastAsia="仿宋"/>
          <w:sz w:val="32"/>
          <w:szCs w:val="32"/>
        </w:rPr>
        <w:t>月</w:t>
      </w:r>
      <w:r>
        <w:rPr>
          <w:rFonts w:hint="eastAsia" w:ascii="仿宋" w:hAnsi="仿宋" w:eastAsia="仿宋"/>
          <w:sz w:val="32"/>
          <w:szCs w:val="32"/>
          <w:lang w:val="en-US" w:eastAsia="zh-CN"/>
        </w:rPr>
        <w:t>25</w:t>
      </w:r>
      <w:r>
        <w:rPr>
          <w:rFonts w:ascii="仿宋" w:hAnsi="仿宋" w:eastAsia="仿宋"/>
          <w:sz w:val="32"/>
          <w:szCs w:val="32"/>
        </w:rPr>
        <w:t>日</w:t>
      </w:r>
    </w:p>
    <w:p w14:paraId="2B6E220A">
      <w:pPr>
        <w:rPr>
          <w:rFonts w:ascii="仿宋" w:hAnsi="仿宋" w:eastAsia="仿宋"/>
          <w:sz w:val="32"/>
          <w:szCs w:val="32"/>
        </w:rPr>
      </w:pPr>
    </w:p>
    <w:p w14:paraId="33B37F5B">
      <w:pPr>
        <w:rPr>
          <w:rFonts w:ascii="仿宋" w:hAnsi="仿宋" w:eastAsia="仿宋"/>
          <w:sz w:val="32"/>
          <w:szCs w:val="32"/>
        </w:rPr>
      </w:pPr>
    </w:p>
    <w:p w14:paraId="400B6D6D">
      <w:pPr>
        <w:rPr>
          <w:rFonts w:ascii="仿宋" w:hAnsi="仿宋" w:eastAsia="仿宋"/>
          <w:sz w:val="32"/>
          <w:szCs w:val="32"/>
        </w:rPr>
      </w:pPr>
    </w:p>
    <w:p w14:paraId="0830C73E">
      <w:pPr>
        <w:rPr>
          <w:rFonts w:ascii="仿宋" w:hAnsi="仿宋" w:eastAsia="仿宋"/>
          <w:sz w:val="32"/>
          <w:szCs w:val="32"/>
        </w:rPr>
      </w:pPr>
    </w:p>
    <w:p w14:paraId="476D3F15">
      <w:pPr>
        <w:rPr>
          <w:rFonts w:ascii="仿宋" w:hAnsi="仿宋" w:eastAsia="仿宋"/>
          <w:sz w:val="32"/>
          <w:szCs w:val="32"/>
        </w:rPr>
      </w:pPr>
    </w:p>
    <w:p w14:paraId="664D05AF">
      <w:pPr>
        <w:rPr>
          <w:rFonts w:ascii="仿宋" w:hAnsi="仿宋" w:eastAsia="仿宋"/>
          <w:sz w:val="32"/>
          <w:szCs w:val="32"/>
        </w:rPr>
      </w:pPr>
    </w:p>
    <w:p w14:paraId="2E3F6BBD">
      <w:pPr>
        <w:rPr>
          <w:rFonts w:ascii="仿宋" w:hAnsi="仿宋" w:eastAsia="仿宋"/>
          <w:sz w:val="32"/>
          <w:szCs w:val="32"/>
        </w:rPr>
      </w:pPr>
      <w:bookmarkStart w:id="0" w:name="_GoBack"/>
      <w:bookmarkEnd w:id="0"/>
    </w:p>
    <w:p w14:paraId="7F70E4B2">
      <w:pPr>
        <w:rPr>
          <w:rFonts w:ascii="仿宋" w:hAnsi="仿宋" w:eastAsia="仿宋"/>
          <w:sz w:val="32"/>
          <w:szCs w:val="32"/>
        </w:rPr>
      </w:pPr>
    </w:p>
    <w:p w14:paraId="2B7CD728">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
          <w:lang w:eastAsia="zh-CN"/>
        </w:rPr>
      </w:pPr>
      <w:r>
        <w:rPr>
          <w:rFonts w:hint="eastAsia"/>
        </w:rPr>
        <w:t>联系人姓名：</w:t>
      </w:r>
      <w:r>
        <w:rPr>
          <w:rFonts w:hint="eastAsia"/>
          <w:lang w:eastAsia="zh-CN"/>
        </w:rPr>
        <w:t>王双全</w:t>
      </w:r>
    </w:p>
    <w:p w14:paraId="161343A9">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cs="Times New Roman"/>
          <w:lang w:eastAsia="zh-CN"/>
        </w:rPr>
      </w:pPr>
      <w:r>
        <w:rPr>
          <w:rFonts w:hint="eastAsia" w:cs="Times New Roman"/>
          <w:lang w:eastAsia="zh-CN"/>
        </w:rPr>
        <w:t>联 系 电话：</w:t>
      </w:r>
      <w:r>
        <w:rPr>
          <w:rFonts w:hint="eastAsia" w:cs="Times New Roman"/>
          <w:lang w:val="en-US" w:eastAsia="zh-CN"/>
        </w:rPr>
        <w:t>65103680</w:t>
      </w:r>
    </w:p>
    <w:p w14:paraId="36276C2F">
      <w:pPr>
        <w:pStyle w:val="15"/>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lang w:eastAsia="zh-CN"/>
        </w:rPr>
      </w:pPr>
      <w:r>
        <w:rPr>
          <w:rFonts w:hint="eastAsia"/>
        </w:rPr>
        <w:t>抄</w:t>
      </w:r>
      <w:r>
        <w:t xml:space="preserve">      </w:t>
      </w:r>
      <w:r>
        <w:rPr>
          <w:rFonts w:hint="eastAsia"/>
        </w:rPr>
        <w:t>送：市人大代表议案建议工委、市政府办公室</w:t>
      </w:r>
    </w:p>
    <w:sectPr>
      <w:headerReference r:id="rId3" w:type="first"/>
      <w:footerReference r:id="rId6" w:type="first"/>
      <w:footerReference r:id="rId4" w:type="default"/>
      <w:footerReference r:id="rId5" w:type="even"/>
      <w:pgSz w:w="11907" w:h="16840"/>
      <w:pgMar w:top="1928" w:right="1417" w:bottom="1928" w:left="1417" w:header="851" w:footer="1418" w:gutter="227"/>
      <w:pgNumType w:fmt="numberInDash"/>
      <w:cols w:space="72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FangSong_GB2312">
    <w:altName w:val="仿宋_GB2312"/>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68FC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918B00">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7C918B00">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B38C1">
    <w:pPr>
      <w:pStyle w:val="4"/>
      <w:framePr w:wrap="around" w:vAnchor="text" w:hAnchor="margin" w:xAlign="center" w:y="1"/>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lang/>
      </w:rPr>
      <w:t>- 2 -</w:t>
    </w:r>
    <w:r>
      <w:rPr>
        <w:rFonts w:ascii="宋体" w:hAnsi="宋体" w:eastAsia="宋体"/>
        <w:sz w:val="28"/>
        <w:szCs w:val="28"/>
      </w:rPr>
      <w:fldChar w:fldCharType="end"/>
    </w:r>
  </w:p>
  <w:p w14:paraId="57E7DF29">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5C09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A8FFF">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hyphenationZone w:val="360"/>
  <w:drawingGridHorizontalSpacing w:val="105"/>
  <w:drawingGridVerticalSpacing w:val="579"/>
  <w:displayHorizontalDrawingGridEvery w:val="0"/>
  <w:displayVerticalDrawingGridEvery w:val="1"/>
  <w:characterSpacingControl w:val="compressPunctuation"/>
  <w:hdrShapeDefaults>
    <o:shapelayout v:ext="edit">
      <o:idmap v:ext="edit" data="2"/>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3YTJjMjUwZGEyZjJiODFhMTlhYmEzNjdhOWVlZTUifQ=="/>
  </w:docVars>
  <w:rsids>
    <w:rsidRoot w:val="08BD59C6"/>
    <w:rsid w:val="00045292"/>
    <w:rsid w:val="000803F5"/>
    <w:rsid w:val="00082101"/>
    <w:rsid w:val="000B622A"/>
    <w:rsid w:val="000C204F"/>
    <w:rsid w:val="000C3B70"/>
    <w:rsid w:val="001015E8"/>
    <w:rsid w:val="00113B13"/>
    <w:rsid w:val="001244D7"/>
    <w:rsid w:val="00127206"/>
    <w:rsid w:val="0013613B"/>
    <w:rsid w:val="00136994"/>
    <w:rsid w:val="00155558"/>
    <w:rsid w:val="00170750"/>
    <w:rsid w:val="001B4BB5"/>
    <w:rsid w:val="001E1A7A"/>
    <w:rsid w:val="001F4FDA"/>
    <w:rsid w:val="001F6740"/>
    <w:rsid w:val="00205064"/>
    <w:rsid w:val="00224806"/>
    <w:rsid w:val="00271781"/>
    <w:rsid w:val="00275F81"/>
    <w:rsid w:val="00284939"/>
    <w:rsid w:val="002B484F"/>
    <w:rsid w:val="002B72F5"/>
    <w:rsid w:val="002C01D3"/>
    <w:rsid w:val="002C1244"/>
    <w:rsid w:val="002C53F0"/>
    <w:rsid w:val="002E56A4"/>
    <w:rsid w:val="002E7B43"/>
    <w:rsid w:val="002F5677"/>
    <w:rsid w:val="003109A8"/>
    <w:rsid w:val="003168B0"/>
    <w:rsid w:val="00322EAE"/>
    <w:rsid w:val="00331D07"/>
    <w:rsid w:val="003322F1"/>
    <w:rsid w:val="00351D37"/>
    <w:rsid w:val="00363833"/>
    <w:rsid w:val="0038526F"/>
    <w:rsid w:val="00390A7B"/>
    <w:rsid w:val="00391B10"/>
    <w:rsid w:val="003C316A"/>
    <w:rsid w:val="003E16C4"/>
    <w:rsid w:val="003F3FD2"/>
    <w:rsid w:val="004076DD"/>
    <w:rsid w:val="0042736D"/>
    <w:rsid w:val="00455C99"/>
    <w:rsid w:val="00463FE2"/>
    <w:rsid w:val="004852FE"/>
    <w:rsid w:val="00490EB1"/>
    <w:rsid w:val="0049110A"/>
    <w:rsid w:val="00495309"/>
    <w:rsid w:val="004A2E29"/>
    <w:rsid w:val="004B2169"/>
    <w:rsid w:val="004B618A"/>
    <w:rsid w:val="004B626E"/>
    <w:rsid w:val="004C5FC4"/>
    <w:rsid w:val="004E4E36"/>
    <w:rsid w:val="004F0BF4"/>
    <w:rsid w:val="004F67D6"/>
    <w:rsid w:val="004F6DCA"/>
    <w:rsid w:val="00525143"/>
    <w:rsid w:val="00545DC4"/>
    <w:rsid w:val="00554CA5"/>
    <w:rsid w:val="0055512D"/>
    <w:rsid w:val="005568DE"/>
    <w:rsid w:val="00560E55"/>
    <w:rsid w:val="00582D09"/>
    <w:rsid w:val="0058530A"/>
    <w:rsid w:val="005A2FA0"/>
    <w:rsid w:val="005A5E4F"/>
    <w:rsid w:val="005C2E4F"/>
    <w:rsid w:val="005D6720"/>
    <w:rsid w:val="005D7665"/>
    <w:rsid w:val="0060470C"/>
    <w:rsid w:val="006151D5"/>
    <w:rsid w:val="0064078C"/>
    <w:rsid w:val="006721B8"/>
    <w:rsid w:val="00692AEB"/>
    <w:rsid w:val="006A7E9C"/>
    <w:rsid w:val="006B33F9"/>
    <w:rsid w:val="006B58E2"/>
    <w:rsid w:val="006C3ADF"/>
    <w:rsid w:val="006E1B4A"/>
    <w:rsid w:val="006E66A1"/>
    <w:rsid w:val="006F6DF7"/>
    <w:rsid w:val="00724B7A"/>
    <w:rsid w:val="007316E9"/>
    <w:rsid w:val="00741B66"/>
    <w:rsid w:val="0075124D"/>
    <w:rsid w:val="007863ED"/>
    <w:rsid w:val="007A519A"/>
    <w:rsid w:val="008144A5"/>
    <w:rsid w:val="00815BDF"/>
    <w:rsid w:val="00817FA3"/>
    <w:rsid w:val="00851202"/>
    <w:rsid w:val="00867029"/>
    <w:rsid w:val="00872179"/>
    <w:rsid w:val="00876921"/>
    <w:rsid w:val="00892BFD"/>
    <w:rsid w:val="00895067"/>
    <w:rsid w:val="008B50C4"/>
    <w:rsid w:val="008D5EF8"/>
    <w:rsid w:val="00921922"/>
    <w:rsid w:val="009270C5"/>
    <w:rsid w:val="00933378"/>
    <w:rsid w:val="009569E0"/>
    <w:rsid w:val="00961CE0"/>
    <w:rsid w:val="009636EF"/>
    <w:rsid w:val="00967F5A"/>
    <w:rsid w:val="0097493F"/>
    <w:rsid w:val="00981264"/>
    <w:rsid w:val="00990029"/>
    <w:rsid w:val="00991C72"/>
    <w:rsid w:val="00993E5D"/>
    <w:rsid w:val="009A2D78"/>
    <w:rsid w:val="009A3748"/>
    <w:rsid w:val="009A5576"/>
    <w:rsid w:val="009C39E3"/>
    <w:rsid w:val="009C4710"/>
    <w:rsid w:val="009D0535"/>
    <w:rsid w:val="00A41F29"/>
    <w:rsid w:val="00A536CF"/>
    <w:rsid w:val="00AC37A4"/>
    <w:rsid w:val="00AD4CC3"/>
    <w:rsid w:val="00AF4EB8"/>
    <w:rsid w:val="00B32A2E"/>
    <w:rsid w:val="00B70DA9"/>
    <w:rsid w:val="00B75AC5"/>
    <w:rsid w:val="00B76435"/>
    <w:rsid w:val="00B76FE1"/>
    <w:rsid w:val="00B871A7"/>
    <w:rsid w:val="00B90A4D"/>
    <w:rsid w:val="00B91DE4"/>
    <w:rsid w:val="00B95A09"/>
    <w:rsid w:val="00BA14C3"/>
    <w:rsid w:val="00BA572C"/>
    <w:rsid w:val="00BC0400"/>
    <w:rsid w:val="00BE0B14"/>
    <w:rsid w:val="00BF60FA"/>
    <w:rsid w:val="00C420CA"/>
    <w:rsid w:val="00C615D1"/>
    <w:rsid w:val="00C639B3"/>
    <w:rsid w:val="00CA6EE0"/>
    <w:rsid w:val="00CF0B21"/>
    <w:rsid w:val="00D00FA6"/>
    <w:rsid w:val="00D26435"/>
    <w:rsid w:val="00D26FBE"/>
    <w:rsid w:val="00D33255"/>
    <w:rsid w:val="00D4233D"/>
    <w:rsid w:val="00D44547"/>
    <w:rsid w:val="00D86564"/>
    <w:rsid w:val="00D86D96"/>
    <w:rsid w:val="00DA041F"/>
    <w:rsid w:val="00DB4DB1"/>
    <w:rsid w:val="00DE1A7E"/>
    <w:rsid w:val="00DF6C3A"/>
    <w:rsid w:val="00E066BB"/>
    <w:rsid w:val="00E17777"/>
    <w:rsid w:val="00E601FE"/>
    <w:rsid w:val="00E619F2"/>
    <w:rsid w:val="00E72A34"/>
    <w:rsid w:val="00E83AD3"/>
    <w:rsid w:val="00E95041"/>
    <w:rsid w:val="00EE6E7A"/>
    <w:rsid w:val="00F33872"/>
    <w:rsid w:val="00F33CA6"/>
    <w:rsid w:val="00F52DA0"/>
    <w:rsid w:val="00FD11C0"/>
    <w:rsid w:val="049B5201"/>
    <w:rsid w:val="0552664B"/>
    <w:rsid w:val="08047C00"/>
    <w:rsid w:val="08BD59C6"/>
    <w:rsid w:val="0AD82C3E"/>
    <w:rsid w:val="101A2ED3"/>
    <w:rsid w:val="20E62BD1"/>
    <w:rsid w:val="2CFF3CE2"/>
    <w:rsid w:val="49E46575"/>
    <w:rsid w:val="61A7456F"/>
    <w:rsid w:val="61CD07DD"/>
    <w:rsid w:val="69482CC7"/>
    <w:rsid w:val="6D8718F0"/>
    <w:rsid w:val="751065EC"/>
    <w:rsid w:val="798E018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eastAsia="仿宋_GB2312"/>
      <w:kern w:val="2"/>
      <w:sz w:val="21"/>
      <w:lang w:val="en-US" w:eastAsia="zh-CN" w:bidi="ar-SA"/>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rPr>
  </w:style>
  <w:style w:type="character" w:default="1" w:styleId="9">
    <w:name w:val="Default Paragraph Font"/>
    <w:unhideWhenUsed/>
    <w:uiPriority w:val="1"/>
  </w:style>
  <w:style w:type="table" w:default="1" w:styleId="7">
    <w:name w:val="Normal Table"/>
    <w:unhideWhenUsed/>
    <w:uiPriority w:val="99"/>
    <w:tblPr>
      <w:tblStyle w:val="7"/>
      <w:tblCellMar>
        <w:top w:w="0" w:type="dxa"/>
        <w:left w:w="108" w:type="dxa"/>
        <w:bottom w:w="0" w:type="dxa"/>
        <w:right w:w="108" w:type="dxa"/>
      </w:tblCellMar>
    </w:tblPr>
  </w:style>
  <w:style w:type="paragraph" w:styleId="3">
    <w:name w:val="Balloon Text"/>
    <w:basedOn w:val="1"/>
    <w:semiHidden/>
    <w:uiPriority w:val="0"/>
    <w:rPr>
      <w:sz w:val="18"/>
      <w:szCs w:val="18"/>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tabs>
        <w:tab w:val="center" w:pos="4153"/>
        <w:tab w:val="right" w:pos="8306"/>
      </w:tabs>
      <w:snapToGrid w:val="0"/>
      <w:jc w:val="center"/>
    </w:pPr>
    <w:rPr>
      <w:sz w:val="10"/>
      <w:szCs w:val="18"/>
    </w:rPr>
  </w:style>
  <w:style w:type="paragraph" w:styleId="6">
    <w:name w:val="Title"/>
    <w:basedOn w:val="1"/>
    <w:next w:val="1"/>
    <w:link w:val="12"/>
    <w:qFormat/>
    <w:uiPriority w:val="0"/>
    <w:pPr>
      <w:spacing w:before="240" w:after="60"/>
      <w:jc w:val="center"/>
      <w:outlineLvl w:val="0"/>
    </w:pPr>
    <w:rPr>
      <w:rFonts w:ascii="Cambria" w:hAnsi="Cambria" w:eastAsia="宋体"/>
      <w:b/>
      <w:bCs/>
      <w:sz w:val="32"/>
      <w:szCs w:val="32"/>
    </w:rPr>
  </w:style>
  <w:style w:type="table" w:styleId="8">
    <w:name w:val="Table Grid"/>
    <w:basedOn w:val="7"/>
    <w:uiPriority w:val="0"/>
    <w:pPr>
      <w:widowControl w:val="0"/>
      <w:jc w:val="both"/>
    </w:pPr>
    <w:tblPr>
      <w:tblStyle w:val="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uiPriority w:val="0"/>
  </w:style>
  <w:style w:type="character" w:customStyle="1" w:styleId="11">
    <w:name w:val="标题 1 Char"/>
    <w:link w:val="2"/>
    <w:uiPriority w:val="0"/>
    <w:rPr>
      <w:rFonts w:ascii="仿宋_GB2312" w:eastAsia="仿宋_GB2312"/>
      <w:b/>
      <w:bCs/>
      <w:kern w:val="44"/>
      <w:sz w:val="44"/>
      <w:szCs w:val="44"/>
    </w:rPr>
  </w:style>
  <w:style w:type="character" w:customStyle="1" w:styleId="12">
    <w:name w:val="标题 Char"/>
    <w:link w:val="6"/>
    <w:uiPriority w:val="0"/>
    <w:rPr>
      <w:rFonts w:ascii="Cambria" w:hAnsi="Cambria"/>
      <w:b/>
      <w:bCs/>
      <w:kern w:val="2"/>
      <w:sz w:val="32"/>
      <w:szCs w:val="32"/>
    </w:rPr>
  </w:style>
  <w:style w:type="paragraph" w:customStyle="1" w:styleId="13">
    <w:name w:val="副标题1"/>
    <w:basedOn w:val="14"/>
    <w:qFormat/>
    <w:uiPriority w:val="0"/>
    <w:pPr>
      <w:spacing w:line="240" w:lineRule="auto"/>
    </w:pPr>
    <w:rPr>
      <w:rFonts w:ascii="楷体" w:hAnsi="楷体" w:eastAsia="楷体" w:cs="宋体"/>
      <w:sz w:val="32"/>
      <w:szCs w:val="20"/>
    </w:rPr>
  </w:style>
  <w:style w:type="paragraph" w:customStyle="1" w:styleId="14">
    <w:name w:val="公文标题"/>
    <w:basedOn w:val="1"/>
    <w:qFormat/>
    <w:uiPriority w:val="0"/>
    <w:pPr>
      <w:spacing w:line="600" w:lineRule="exact"/>
      <w:jc w:val="center"/>
    </w:pPr>
    <w:rPr>
      <w:rFonts w:ascii="方正小标宋简体" w:eastAsia="方正小标宋简体"/>
      <w:kern w:val="0"/>
      <w:sz w:val="44"/>
      <w:szCs w:val="44"/>
    </w:rPr>
  </w:style>
  <w:style w:type="paragraph" w:customStyle="1" w:styleId="15">
    <w:name w:val="公文正文"/>
    <w:basedOn w:val="1"/>
    <w:qFormat/>
    <w:uiPriority w:val="0"/>
    <w:pPr>
      <w:ind w:firstLine="640" w:firstLineChars="200"/>
    </w:pPr>
    <w:rPr>
      <w:rFonts w:ascii="仿宋" w:hAnsi="仿宋" w:eastAsia="仿宋"/>
      <w:sz w:val="32"/>
      <w:szCs w:val="32"/>
    </w:rPr>
  </w:style>
  <w:style w:type="paragraph" w:customStyle="1" w:styleId="16">
    <w:name w:val="p0"/>
    <w:basedOn w:val="1"/>
    <w:uiPriority w:val="0"/>
    <w:pPr>
      <w:widowControl/>
    </w:pPr>
    <w:rPr>
      <w:rFonts w:ascii="Times New Roman" w:eastAsia="宋体"/>
      <w:kern w:val="0"/>
      <w:szCs w:val="21"/>
    </w:rPr>
  </w:style>
  <w:style w:type="paragraph" w:customStyle="1" w:styleId="17">
    <w:name w:val="Char Char Char Char"/>
    <w:basedOn w:val="1"/>
    <w:uiPriority w:val="0"/>
    <w:pPr>
      <w:widowControl/>
      <w:spacing w:after="160" w:line="240" w:lineRule="exact"/>
      <w:jc w:val="left"/>
    </w:pPr>
    <w:rPr>
      <w:rFonts w:ascii="Verdana" w:hAnsi="Verdana"/>
      <w:kern w:val="0"/>
      <w:sz w:val="24"/>
      <w:lang w:eastAsia="en-US"/>
    </w:rPr>
  </w:style>
  <w:style w:type="paragraph" w:customStyle="1" w:styleId="18">
    <w:name w:val="公文二级目录"/>
    <w:basedOn w:val="1"/>
    <w:qFormat/>
    <w:uiPriority w:val="0"/>
    <w:pPr>
      <w:ind w:firstLine="640" w:firstLineChars="200"/>
    </w:pPr>
    <w:rPr>
      <w:rFonts w:ascii="楷体_GB2312" w:hAnsi="仿宋" w:eastAsia="楷体_GB2312"/>
      <w:sz w:val="32"/>
      <w:szCs w:val="32"/>
    </w:rPr>
  </w:style>
  <w:style w:type="paragraph" w:customStyle="1" w:styleId="19">
    <w:name w:val="公文一级目录"/>
    <w:basedOn w:val="1"/>
    <w:link w:val="23"/>
    <w:qFormat/>
    <w:uiPriority w:val="0"/>
    <w:pPr>
      <w:ind w:firstLine="640" w:firstLineChars="200"/>
    </w:pPr>
    <w:rPr>
      <w:rFonts w:ascii="黑体" w:eastAsia="黑体"/>
      <w:sz w:val="32"/>
      <w:szCs w:val="32"/>
    </w:rPr>
  </w:style>
  <w:style w:type="paragraph" w:customStyle="1" w:styleId="20">
    <w:name w:val="正文1"/>
    <w:uiPriority w:val="0"/>
    <w:pPr>
      <w:jc w:val="both"/>
    </w:pPr>
    <w:rPr>
      <w:kern w:val="2"/>
      <w:sz w:val="21"/>
      <w:szCs w:val="21"/>
      <w:lang w:val="en-US" w:eastAsia="zh-CN" w:bidi="ar-SA"/>
    </w:rPr>
  </w:style>
  <w:style w:type="paragraph" w:customStyle="1" w:styleId="21">
    <w:name w:val="公文抬头"/>
    <w:basedOn w:val="1"/>
    <w:qFormat/>
    <w:uiPriority w:val="0"/>
    <w:rPr>
      <w:rFonts w:ascii="仿宋" w:hAnsi="仿宋" w:eastAsia="仿宋"/>
      <w:sz w:val="32"/>
      <w:szCs w:val="32"/>
    </w:rPr>
  </w:style>
  <w:style w:type="paragraph" w:customStyle="1" w:styleId="22">
    <w:name w:val="p19"/>
    <w:basedOn w:val="1"/>
    <w:uiPriority w:val="0"/>
    <w:pPr>
      <w:widowControl/>
    </w:pPr>
    <w:rPr>
      <w:rFonts w:ascii="Times New Roman" w:eastAsia="宋体"/>
      <w:kern w:val="0"/>
      <w:szCs w:val="21"/>
    </w:rPr>
  </w:style>
  <w:style w:type="character" w:customStyle="1" w:styleId="23">
    <w:name w:val="公文一级目录 Char"/>
    <w:link w:val="19"/>
    <w:uiPriority w:val="0"/>
    <w:rPr>
      <w:rFonts w:ascii="黑体" w:eastAsia="黑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Y:\&#24120;&#29992;&#34920;&#24335;&#21450;&#27169;&#26495;\0&#20154;&#22823;&#20027;&#21150;.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0人大主办.dot</Template>
  <Pages>4</Pages>
  <Words>132</Words>
  <Characters>147</Characters>
  <Lines>1</Lines>
  <Paragraphs>1</Paragraphs>
  <TotalTime>1</TotalTime>
  <ScaleCrop>false</ScaleCrop>
  <LinksUpToDate>false</LinksUpToDate>
  <CharactersWithSpaces>175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2025-06-25T08:29:00Z</dcterms:created>
  <dc:creator>琪思喵相</dc:creator>
  <cp:keywords>JYJBGS</cp:keywords>
  <cp:lastModifiedBy>琪思喵相</cp:lastModifiedBy>
  <dcterms:modified xsi:type="dcterms:W3CDTF">2025-06-25T08:32:05Z</dcterms:modified>
  <dc:title>行政公文模板2020</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B20485C83A394A8494B3D293C184B31A_11</vt:lpwstr>
  </property>
  <property fmtid="{D5CDD505-2E9C-101B-9397-08002B2CF9AE}" pid="4" name="KSOTemplateDocerSaveRecord">
    <vt:lpwstr>eyJoZGlkIjoiYzg3YTJjMjUwZGEyZjJiODFhMTlhYmEzNjdhOWVlZTUiLCJ1c2VySWQiOiI2Nzc3OTk0In0=</vt:lpwstr>
  </property>
</Properties>
</file>