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A5464">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7256EB82">
      <w:pPr>
        <w:pStyle w:val="4"/>
        <w:bidi w:val="0"/>
        <w:rPr>
          <w:rFonts w:hint="eastAsia"/>
        </w:rPr>
      </w:pPr>
    </w:p>
    <w:p w14:paraId="49BAD4DE">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6FC4ECBF">
      <w:pPr>
        <w:spacing w:line="460" w:lineRule="exact"/>
        <w:jc w:val="center"/>
        <w:rPr>
          <w:rFonts w:ascii="Times New Roman"/>
          <w:sz w:val="32"/>
          <w:szCs w:val="32"/>
        </w:rPr>
      </w:pPr>
    </w:p>
    <w:p w14:paraId="40294FAE">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〕苏教办复第</w:t>
      </w:r>
      <w:r>
        <w:rPr>
          <w:rFonts w:hint="eastAsia" w:ascii="仿宋" w:hAnsi="仿宋" w:eastAsia="仿宋" w:cs="仿宋"/>
          <w:snapToGrid w:val="0"/>
          <w:kern w:val="0"/>
          <w:sz w:val="32"/>
          <w:szCs w:val="32"/>
          <w:lang w:val="en-US" w:eastAsia="zh-CN"/>
        </w:rPr>
        <w:t>162</w:t>
      </w:r>
      <w:r>
        <w:rPr>
          <w:rFonts w:hint="eastAsia" w:ascii="仿宋" w:hAnsi="仿宋" w:eastAsia="仿宋" w:cs="仿宋"/>
          <w:snapToGrid w:val="0"/>
          <w:kern w:val="0"/>
          <w:sz w:val="32"/>
          <w:szCs w:val="32"/>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46E55530">
      <w:pPr>
        <w:spacing w:line="570" w:lineRule="exact"/>
        <w:jc w:val="center"/>
        <w:rPr>
          <w:rFonts w:ascii="Times New Roman" w:eastAsia="仿宋"/>
          <w:snapToGrid w:val="0"/>
          <w:kern w:val="0"/>
          <w:sz w:val="32"/>
          <w:szCs w:val="32"/>
        </w:rPr>
      </w:pPr>
      <w:r>
        <w:rPr>
          <w:rFonts w:ascii="Times New Roman" w:eastAsia="仿宋"/>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Cn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PkfgfU&#10;AAAABQEAAA8AAAAAAAAAAQAgAAAAIgAAAGRycy9kb3ducmV2LnhtbFBLAQIUABQAAAAIAIdO4kDE&#10;BYaE6wEAANwDAAAOAAAAAAAAAAEAIAAAACMBAABkcnMvZTJvRG9jLnhtbFBLBQYAAAAABgAGAFkB&#10;AACABQAAAAA=&#10;">
                <v:fill on="f" focussize="0,0"/>
                <v:stroke weight="1.5pt" color="#FF0000" joinstyle="round"/>
                <v:imagedata o:title=""/>
                <o:lock v:ext="edit" aspectratio="f"/>
              </v:line>
            </w:pict>
          </mc:Fallback>
        </mc:AlternateContent>
      </w:r>
    </w:p>
    <w:p w14:paraId="0F8FCBB2">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36A4D5E2">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193</w:t>
      </w:r>
      <w:r>
        <w:rPr>
          <w:rFonts w:hint="eastAsia" w:ascii="方正小标宋简体" w:eastAsia="方正小标宋简体"/>
          <w:kern w:val="0"/>
          <w:sz w:val="44"/>
          <w:szCs w:val="44"/>
        </w:rPr>
        <w:t>号提案的答复</w:t>
      </w:r>
    </w:p>
    <w:p w14:paraId="4C45CA00">
      <w:pPr>
        <w:rPr>
          <w:rFonts w:ascii="仿宋" w:hAnsi="仿宋" w:eastAsia="仿宋"/>
          <w:sz w:val="32"/>
          <w:szCs w:val="32"/>
        </w:rPr>
      </w:pPr>
    </w:p>
    <w:p w14:paraId="70A73923">
      <w:pPr>
        <w:pStyle w:val="21"/>
        <w:bidi w:val="0"/>
        <w:rPr>
          <w:rFonts w:hint="eastAsia"/>
          <w:lang w:eastAsia="zh-CN"/>
        </w:rPr>
      </w:pPr>
      <w:r>
        <w:rPr>
          <w:rFonts w:hint="eastAsia"/>
          <w:lang w:eastAsia="zh-CN"/>
        </w:rPr>
        <w:t>杨静漪委员：</w:t>
      </w:r>
    </w:p>
    <w:p w14:paraId="55FDE2F9">
      <w:pPr>
        <w:pStyle w:val="15"/>
        <w:bidi w:val="0"/>
        <w:rPr>
          <w:rFonts w:hint="eastAsia"/>
          <w:lang w:eastAsia="zh-CN"/>
        </w:rPr>
      </w:pPr>
      <w:r>
        <w:rPr>
          <w:rFonts w:hint="eastAsia"/>
          <w:lang w:eastAsia="zh-CN"/>
        </w:rPr>
        <w:t>您提出的《关于加强教育衔接，推动高质量研学发展的建议》</w:t>
      </w:r>
      <w:r>
        <w:rPr>
          <w:rFonts w:hint="eastAsia"/>
        </w:rPr>
        <w:t>的提案</w:t>
      </w:r>
      <w:r>
        <w:rPr>
          <w:rFonts w:hint="eastAsia"/>
          <w:lang w:eastAsia="zh-CN"/>
        </w:rPr>
        <w:t>收悉。现答复如下：</w:t>
      </w:r>
    </w:p>
    <w:p w14:paraId="00ACC4AC">
      <w:pPr>
        <w:pStyle w:val="15"/>
        <w:bidi w:val="0"/>
        <w:rPr>
          <w:rFonts w:hint="eastAsia"/>
          <w:lang w:eastAsia="zh-CN"/>
        </w:rPr>
      </w:pPr>
      <w:r>
        <w:rPr>
          <w:rFonts w:hint="eastAsia"/>
          <w:lang w:eastAsia="zh-CN"/>
        </w:rPr>
        <w:t>中小学生研学是学校教育和校外教育衔接的创新形式，是教育教学的重要内容，是综合实践育人的有效途径。近年来，我市高度重视中小学生研学旅行活动，</w:t>
      </w:r>
      <w:r>
        <w:rPr>
          <w:rFonts w:hint="eastAsia"/>
          <w:lang w:val="en-US" w:eastAsia="zh-CN"/>
        </w:rPr>
        <w:t>研学活动</w:t>
      </w:r>
      <w:r>
        <w:rPr>
          <w:rFonts w:hint="eastAsia"/>
          <w:lang w:eastAsia="zh-CN"/>
        </w:rPr>
        <w:t>在苏州蓬勃发展。</w:t>
      </w:r>
    </w:p>
    <w:p w14:paraId="03B9553E">
      <w:pPr>
        <w:pStyle w:val="15"/>
        <w:bidi w:val="0"/>
        <w:rPr>
          <w:rFonts w:hint="eastAsia"/>
          <w:lang w:eastAsia="zh-CN"/>
        </w:rPr>
      </w:pPr>
      <w:r>
        <w:rPr>
          <w:rFonts w:hint="eastAsia"/>
          <w:lang w:eastAsia="zh-CN"/>
        </w:rPr>
        <w:t>2016年，教育部等11部委联合发布《关于推进中小学生研学旅行的意见》，阐明了研习旅行的重要意义、工作目标、基本原则、主要任务和组织保障。我市依据《意见》部署以及《研学旅行服务标准》（LB/T054-2016），在全国率先制订施行《苏州市关于开展中小学生研学旅行等社会实践活动的旅行社服务规范》</w:t>
      </w:r>
      <w:r>
        <w:rPr>
          <w:rFonts w:hint="eastAsia"/>
          <w:lang w:val="en-US" w:eastAsia="zh-CN"/>
        </w:rPr>
        <w:t>。</w:t>
      </w:r>
      <w:r>
        <w:rPr>
          <w:rFonts w:hint="eastAsia"/>
          <w:lang w:eastAsia="zh-CN"/>
        </w:rPr>
        <w:t>2017年，苏州市11部门联合印发《苏州市教育局等11部门关于进一步规范组织中小学生研学旅行等社会实践活动的意见》，在国家、省级全域旅游示范区等创建实践中，不断推进研学旅行目的地建设。</w:t>
      </w:r>
    </w:p>
    <w:p w14:paraId="25EC61EB">
      <w:pPr>
        <w:pStyle w:val="15"/>
        <w:bidi w:val="0"/>
        <w:rPr>
          <w:rFonts w:hint="eastAsia"/>
          <w:lang w:eastAsia="zh-CN"/>
        </w:rPr>
      </w:pPr>
      <w:r>
        <w:rPr>
          <w:rStyle w:val="23"/>
          <w:rFonts w:hint="eastAsia"/>
          <w:lang w:eastAsia="zh-CN"/>
        </w:rPr>
        <w:t>一是普查文旅资源，促进研学旅行体系建设。</w:t>
      </w:r>
      <w:r>
        <w:rPr>
          <w:rFonts w:hint="eastAsia"/>
          <w:lang w:eastAsia="zh-CN"/>
        </w:rPr>
        <w:t>发动全市各板块，按照</w:t>
      </w:r>
      <w:r>
        <w:rPr>
          <w:rFonts w:hint="eastAsia"/>
          <w:lang w:val="en-US" w:eastAsia="zh-CN"/>
        </w:rPr>
        <w:t>9</w:t>
      </w:r>
      <w:r>
        <w:rPr>
          <w:rFonts w:hint="eastAsia"/>
          <w:lang w:eastAsia="zh-CN"/>
        </w:rPr>
        <w:t>个主类：地文景观、水域景观、生物景观、天象与气候景观、物质文化遗产、专题登记非物质文化遗产、建筑与设施、文旅购品、人文活动，系统梳理了可供研学资源的单体名称、地理位置、资源类别、资源结构、管理单位、保护现状、图片视频等，普查形成全市研学旅行资源的“总账本”和“一张图”。</w:t>
      </w:r>
    </w:p>
    <w:p w14:paraId="5C8222D5">
      <w:pPr>
        <w:pStyle w:val="15"/>
        <w:bidi w:val="0"/>
        <w:rPr>
          <w:rFonts w:hint="eastAsia"/>
          <w:lang w:eastAsia="zh-CN"/>
        </w:rPr>
      </w:pPr>
      <w:r>
        <w:rPr>
          <w:rStyle w:val="23"/>
          <w:rFonts w:hint="eastAsia" w:hAnsi="Times New Roman"/>
          <w:lang w:eastAsia="zh-CN"/>
        </w:rPr>
        <w:t>二是丰富产品供给，打造研学旅行示范基地。</w:t>
      </w:r>
      <w:r>
        <w:rPr>
          <w:rFonts w:hint="eastAsia"/>
          <w:lang w:eastAsia="zh-CN"/>
        </w:rPr>
        <w:t>文旅、教育、园林、科协等部门协作，拟定研学旅行服务标准，依托“君到苏州”文旅总入口，遴选发布研学旅行推荐产品（线路），择优纳入全市中小学教育教学计划。2016年起，每年评选发布“苏州市十大旅游创新产品”，优中选优打造研学旅行新品。全市利用博物馆、科技馆、生态园、工作室等资源，打造了16</w:t>
      </w:r>
      <w:r>
        <w:rPr>
          <w:rFonts w:hint="default"/>
          <w:lang w:val="en-US" w:eastAsia="zh-CN"/>
        </w:rPr>
        <w:t>0</w:t>
      </w:r>
      <w:r>
        <w:rPr>
          <w:rFonts w:hint="eastAsia"/>
          <w:lang w:eastAsia="zh-CN"/>
        </w:rPr>
        <w:t>家新时代文明实践未成年人体验站，</w:t>
      </w:r>
      <w:r>
        <w:rPr>
          <w:rFonts w:hint="eastAsia"/>
          <w:lang w:val="en-US" w:eastAsia="zh-CN"/>
        </w:rPr>
        <w:t>126家苏州市中小学劳动教育实践基地，确立33个苏州市“博物馆里的大思政课”馆校思政育人项目</w:t>
      </w:r>
      <w:r>
        <w:rPr>
          <w:rFonts w:hint="eastAsia"/>
          <w:lang w:eastAsia="zh-CN"/>
        </w:rPr>
        <w:t>。</w:t>
      </w:r>
    </w:p>
    <w:p w14:paraId="70813BE2">
      <w:pPr>
        <w:pStyle w:val="15"/>
        <w:bidi w:val="0"/>
        <w:rPr>
          <w:rFonts w:hint="eastAsia"/>
          <w:lang w:eastAsia="zh-CN"/>
        </w:rPr>
      </w:pPr>
      <w:r>
        <w:rPr>
          <w:rStyle w:val="23"/>
          <w:rFonts w:hint="eastAsia" w:hAnsi="Times New Roman"/>
          <w:lang w:eastAsia="zh-CN"/>
        </w:rPr>
        <w:t>三是加强统筹协调，提升研学市场管理效能。</w:t>
      </w:r>
      <w:r>
        <w:rPr>
          <w:rFonts w:hint="eastAsia"/>
          <w:lang w:eastAsia="zh-CN"/>
        </w:rPr>
        <w:t>不断推进学校、旅行社、景区资源点、校外培训机构、保险机构等多方联动合作，针对性开展研学导师、导游员培训服务，策划设计研学产品季节性优惠促销等推广活动，提升研学服务质量，确保研学旅行安全。</w:t>
      </w:r>
    </w:p>
    <w:p w14:paraId="7409FF75">
      <w:pPr>
        <w:pStyle w:val="15"/>
        <w:bidi w:val="0"/>
        <w:rPr>
          <w:rFonts w:hint="eastAsia"/>
          <w:lang w:eastAsia="zh-CN"/>
        </w:rPr>
      </w:pPr>
      <w:r>
        <w:rPr>
          <w:rFonts w:hint="eastAsia"/>
          <w:lang w:eastAsia="zh-CN"/>
        </w:rPr>
        <w:t>您的建议给了我们很大的启发，当前和今后一个时期，我们将</w:t>
      </w:r>
      <w:r>
        <w:rPr>
          <w:rFonts w:hint="eastAsia"/>
          <w:lang w:val="en-US" w:eastAsia="zh-CN"/>
        </w:rPr>
        <w:t>进一步凝聚研学旅行的部门合力，</w:t>
      </w:r>
      <w:r>
        <w:rPr>
          <w:rFonts w:hint="eastAsia"/>
          <w:lang w:eastAsia="zh-CN"/>
        </w:rPr>
        <w:t>五育融合</w:t>
      </w:r>
      <w:r>
        <w:rPr>
          <w:rFonts w:hint="eastAsia"/>
          <w:lang w:val="en-US" w:eastAsia="zh-CN"/>
        </w:rPr>
        <w:t>加强研学旅行课程建设，</w:t>
      </w:r>
      <w:r>
        <w:rPr>
          <w:rFonts w:hint="eastAsia"/>
          <w:lang w:eastAsia="zh-CN"/>
        </w:rPr>
        <w:t>加强专业研学旅行师资培养，持续完善保障机制，建立科学合理的多元评价机制。</w:t>
      </w:r>
    </w:p>
    <w:p w14:paraId="5040F8B8">
      <w:pPr>
        <w:pStyle w:val="15"/>
        <w:bidi w:val="0"/>
        <w:rPr>
          <w:rFonts w:hint="eastAsia"/>
          <w:lang w:eastAsia="zh-CN"/>
        </w:rPr>
      </w:pPr>
      <w:r>
        <w:rPr>
          <w:rStyle w:val="23"/>
          <w:rFonts w:hint="eastAsia" w:hAnsi="Times New Roman"/>
          <w:lang w:eastAsia="zh-CN"/>
        </w:rPr>
        <w:t>一是研究制定研学旅行专项发展规划。</w:t>
      </w:r>
      <w:r>
        <w:rPr>
          <w:rFonts w:hint="eastAsia"/>
          <w:lang w:eastAsia="zh-CN"/>
        </w:rPr>
        <w:t>结合我市文旅资源禀赋和研学游发展基础，明确研学旅行市场新一轮发展目标、重点任务和保障措施，为研学旅行高质量发展提供科学指导。</w:t>
      </w:r>
    </w:p>
    <w:p w14:paraId="57A76114">
      <w:pPr>
        <w:pStyle w:val="15"/>
        <w:bidi w:val="0"/>
        <w:rPr>
          <w:rFonts w:hint="eastAsia"/>
          <w:lang w:eastAsia="zh-CN"/>
        </w:rPr>
      </w:pPr>
      <w:r>
        <w:rPr>
          <w:rStyle w:val="23"/>
          <w:rFonts w:hint="eastAsia" w:hAnsi="Times New Roman"/>
          <w:lang w:eastAsia="zh-CN"/>
        </w:rPr>
        <w:t>二是创新打造特色产品和示范基地。</w:t>
      </w:r>
      <w:r>
        <w:rPr>
          <w:rFonts w:hint="eastAsia"/>
          <w:lang w:eastAsia="zh-CN"/>
        </w:rPr>
        <w:t>以满足学生多元化研学需求为导向，文旅、教育等部门务实合作，加强综合实践基地、劳动教育实践基地、社会实践体验点等供给与服务。</w:t>
      </w:r>
    </w:p>
    <w:p w14:paraId="368A0F20">
      <w:pPr>
        <w:pStyle w:val="15"/>
        <w:bidi w:val="0"/>
        <w:rPr>
          <w:rFonts w:hint="eastAsia"/>
          <w:lang w:eastAsia="zh-CN"/>
        </w:rPr>
      </w:pPr>
      <w:r>
        <w:rPr>
          <w:rStyle w:val="23"/>
          <w:rFonts w:hint="eastAsia" w:hAnsi="Times New Roman"/>
          <w:lang w:eastAsia="zh-CN"/>
        </w:rPr>
        <w:t>三是落实研学旅行支持政策。</w:t>
      </w:r>
      <w:r>
        <w:rPr>
          <w:rFonts w:hint="eastAsia"/>
          <w:lang w:eastAsia="zh-CN"/>
        </w:rPr>
        <w:t>遴选研学旅行新产品新场景，兑现相关奖补政策。制定研学旅行市场准入标准，培育、引进知名研学旅行企业。依托高等院校、职业院校和培训机构，加强研学导师等人才培养，不断提高从业人员素质和能力水平。</w:t>
      </w:r>
    </w:p>
    <w:p w14:paraId="1E5B42F5">
      <w:pPr>
        <w:pStyle w:val="15"/>
        <w:bidi w:val="0"/>
        <w:rPr>
          <w:rFonts w:hint="eastAsia"/>
          <w:lang w:eastAsia="zh-CN"/>
        </w:rPr>
      </w:pPr>
      <w:bookmarkStart w:id="0" w:name="_GoBack"/>
      <w:r>
        <w:rPr>
          <w:rStyle w:val="23"/>
          <w:rFonts w:hint="eastAsia" w:hAnsi="Times New Roman"/>
          <w:lang w:eastAsia="zh-CN"/>
        </w:rPr>
        <w:t>四是深化多元评价机制建设，</w:t>
      </w:r>
      <w:bookmarkEnd w:id="0"/>
      <w:r>
        <w:rPr>
          <w:rFonts w:hint="eastAsia"/>
          <w:lang w:eastAsia="zh-CN"/>
        </w:rPr>
        <w:t>探索信息化平台建设，注重</w:t>
      </w:r>
      <w:r>
        <w:t>过程评价和效果评价</w:t>
      </w:r>
      <w:r>
        <w:rPr>
          <w:rFonts w:hint="eastAsia"/>
          <w:lang w:eastAsia="zh-CN"/>
        </w:rPr>
        <w:t>，逐步建立</w:t>
      </w:r>
      <w:r>
        <w:t>研学旅行活动全面、科学的考核与评价</w:t>
      </w:r>
      <w:r>
        <w:rPr>
          <w:rFonts w:hint="eastAsia"/>
          <w:lang w:eastAsia="zh-CN"/>
        </w:rPr>
        <w:t>机制</w:t>
      </w:r>
      <w:r>
        <w:t>，保障研学旅行健康、有序发展。</w:t>
      </w:r>
    </w:p>
    <w:p w14:paraId="4B39FE29">
      <w:pPr>
        <w:pStyle w:val="15"/>
        <w:bidi w:val="0"/>
      </w:pPr>
      <w:r>
        <w:rPr>
          <w:rFonts w:hint="eastAsia"/>
        </w:rPr>
        <w:t>最后</w:t>
      </w:r>
      <w:r>
        <w:t>，</w:t>
      </w:r>
      <w:r>
        <w:rPr>
          <w:rFonts w:hint="eastAsia"/>
        </w:rPr>
        <w:t>感谢您</w:t>
      </w:r>
      <w:r>
        <w:t>对教育的理解和支持！</w:t>
      </w:r>
    </w:p>
    <w:p w14:paraId="33A2B19B">
      <w:pPr>
        <w:ind w:firstLine="640" w:firstLineChars="200"/>
        <w:rPr>
          <w:rFonts w:ascii="仿宋" w:hAnsi="仿宋" w:eastAsia="仿宋"/>
          <w:sz w:val="32"/>
          <w:szCs w:val="32"/>
        </w:rPr>
      </w:pPr>
    </w:p>
    <w:p w14:paraId="60B515E2">
      <w:pPr>
        <w:ind w:firstLine="640" w:firstLineChars="200"/>
        <w:rPr>
          <w:rFonts w:ascii="仿宋" w:hAnsi="仿宋" w:eastAsia="仿宋"/>
          <w:sz w:val="32"/>
          <w:szCs w:val="32"/>
        </w:rPr>
      </w:pPr>
    </w:p>
    <w:p w14:paraId="2DDBE8A9">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33FA754A">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25</w:t>
      </w:r>
      <w:r>
        <w:rPr>
          <w:rFonts w:ascii="仿宋" w:hAnsi="仿宋" w:eastAsia="仿宋"/>
          <w:sz w:val="32"/>
          <w:szCs w:val="32"/>
        </w:rPr>
        <w:t>日</w:t>
      </w:r>
    </w:p>
    <w:p w14:paraId="003111CF">
      <w:pPr>
        <w:rPr>
          <w:rFonts w:ascii="仿宋" w:hAnsi="仿宋" w:eastAsia="仿宋"/>
          <w:sz w:val="32"/>
          <w:szCs w:val="32"/>
        </w:rPr>
      </w:pPr>
      <w:r>
        <w:rPr>
          <w:rFonts w:ascii="仿宋" w:hAnsi="仿宋" w:eastAsia="仿宋"/>
          <w:sz w:val="32"/>
          <w:szCs w:val="32"/>
        </w:rPr>
        <w:br w:type="page"/>
      </w:r>
    </w:p>
    <w:p w14:paraId="1ACCCB26">
      <w:pPr>
        <w:rPr>
          <w:rFonts w:ascii="仿宋" w:hAnsi="仿宋" w:eastAsia="仿宋"/>
          <w:sz w:val="32"/>
          <w:szCs w:val="32"/>
        </w:rPr>
      </w:pPr>
    </w:p>
    <w:p w14:paraId="45DA2F39">
      <w:pPr>
        <w:rPr>
          <w:rFonts w:ascii="仿宋" w:hAnsi="仿宋" w:eastAsia="仿宋"/>
          <w:sz w:val="32"/>
          <w:szCs w:val="32"/>
        </w:rPr>
      </w:pPr>
    </w:p>
    <w:p w14:paraId="7C599E81">
      <w:pPr>
        <w:rPr>
          <w:rFonts w:ascii="仿宋" w:hAnsi="仿宋" w:eastAsia="仿宋"/>
          <w:sz w:val="32"/>
          <w:szCs w:val="32"/>
        </w:rPr>
      </w:pPr>
    </w:p>
    <w:p w14:paraId="24D4C284">
      <w:pPr>
        <w:rPr>
          <w:rFonts w:ascii="仿宋" w:hAnsi="仿宋" w:eastAsia="仿宋"/>
          <w:sz w:val="32"/>
          <w:szCs w:val="32"/>
        </w:rPr>
      </w:pPr>
    </w:p>
    <w:p w14:paraId="3940199F">
      <w:pPr>
        <w:rPr>
          <w:rFonts w:ascii="仿宋" w:hAnsi="仿宋" w:eastAsia="仿宋"/>
          <w:sz w:val="32"/>
          <w:szCs w:val="32"/>
        </w:rPr>
      </w:pPr>
    </w:p>
    <w:p w14:paraId="5CC1BB58">
      <w:pPr>
        <w:rPr>
          <w:rFonts w:ascii="仿宋" w:hAnsi="仿宋" w:eastAsia="仿宋"/>
          <w:sz w:val="32"/>
          <w:szCs w:val="32"/>
        </w:rPr>
      </w:pPr>
    </w:p>
    <w:p w14:paraId="796C7266">
      <w:pPr>
        <w:rPr>
          <w:rFonts w:ascii="仿宋" w:hAnsi="仿宋" w:eastAsia="仿宋"/>
          <w:sz w:val="32"/>
          <w:szCs w:val="32"/>
        </w:rPr>
      </w:pPr>
    </w:p>
    <w:p w14:paraId="70D7EAB6">
      <w:pPr>
        <w:rPr>
          <w:rFonts w:ascii="仿宋" w:hAnsi="仿宋" w:eastAsia="仿宋"/>
          <w:sz w:val="32"/>
          <w:szCs w:val="32"/>
        </w:rPr>
      </w:pPr>
    </w:p>
    <w:p w14:paraId="7948AD28">
      <w:pPr>
        <w:rPr>
          <w:rFonts w:ascii="仿宋" w:hAnsi="仿宋" w:eastAsia="仿宋"/>
          <w:sz w:val="32"/>
          <w:szCs w:val="32"/>
        </w:rPr>
      </w:pPr>
    </w:p>
    <w:p w14:paraId="1B0FD570">
      <w:pPr>
        <w:rPr>
          <w:rFonts w:ascii="仿宋" w:hAnsi="仿宋" w:eastAsia="仿宋"/>
          <w:sz w:val="32"/>
          <w:szCs w:val="32"/>
        </w:rPr>
      </w:pPr>
    </w:p>
    <w:p w14:paraId="32938A52">
      <w:pPr>
        <w:rPr>
          <w:rFonts w:ascii="仿宋" w:hAnsi="仿宋" w:eastAsia="仿宋"/>
          <w:sz w:val="32"/>
          <w:szCs w:val="32"/>
        </w:rPr>
      </w:pPr>
    </w:p>
    <w:p w14:paraId="3BC9BF4D">
      <w:pPr>
        <w:rPr>
          <w:rFonts w:ascii="仿宋" w:hAnsi="仿宋" w:eastAsia="仿宋"/>
          <w:sz w:val="32"/>
          <w:szCs w:val="32"/>
        </w:rPr>
      </w:pPr>
    </w:p>
    <w:p w14:paraId="1719FF98">
      <w:pPr>
        <w:rPr>
          <w:rFonts w:ascii="仿宋" w:hAnsi="仿宋" w:eastAsia="仿宋"/>
          <w:sz w:val="32"/>
          <w:szCs w:val="32"/>
        </w:rPr>
      </w:pPr>
    </w:p>
    <w:p w14:paraId="46732803">
      <w:pPr>
        <w:rPr>
          <w:rFonts w:ascii="仿宋" w:hAnsi="仿宋" w:eastAsia="仿宋"/>
          <w:sz w:val="32"/>
          <w:szCs w:val="32"/>
        </w:rPr>
      </w:pPr>
    </w:p>
    <w:p w14:paraId="0E92252D">
      <w:pPr>
        <w:rPr>
          <w:rFonts w:ascii="仿宋" w:hAnsi="仿宋" w:eastAsia="仿宋"/>
          <w:sz w:val="32"/>
          <w:szCs w:val="32"/>
        </w:rPr>
      </w:pPr>
    </w:p>
    <w:p w14:paraId="39F434E3">
      <w:pPr>
        <w:rPr>
          <w:rFonts w:ascii="仿宋" w:hAnsi="仿宋" w:eastAsia="仿宋"/>
          <w:sz w:val="32"/>
          <w:szCs w:val="32"/>
        </w:rPr>
      </w:pPr>
    </w:p>
    <w:p w14:paraId="4635A4DB">
      <w:pPr>
        <w:rPr>
          <w:rFonts w:ascii="仿宋" w:hAnsi="仿宋" w:eastAsia="仿宋"/>
          <w:sz w:val="32"/>
          <w:szCs w:val="32"/>
        </w:rPr>
      </w:pPr>
    </w:p>
    <w:p w14:paraId="4C892EFA">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4A12FD18">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5A0A917B">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eastAsia="仿宋"/>
          <w:color w:val="0000FF"/>
          <w:sz w:val="32"/>
          <w:szCs w:val="32"/>
          <w:lang w:eastAsia="zh-CN"/>
        </w:rPr>
      </w:pPr>
      <w:r>
        <w:rPr>
          <w:rFonts w:hint="eastAsia"/>
        </w:rPr>
        <w:t>抄</w:t>
      </w:r>
      <w:r>
        <w:t xml:space="preserve">      </w:t>
      </w:r>
      <w:r>
        <w:rPr>
          <w:rFonts w:hint="eastAsia"/>
        </w:rPr>
        <w:t>送：市政府办公室、市政协提案委</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B27B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60EE48">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5960EE48">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634B9">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p w14:paraId="125246F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F6FF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30EF">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421654A6"/>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83E7000"/>
    <w:rsid w:val="0AD82C3E"/>
    <w:rsid w:val="101A2ED3"/>
    <w:rsid w:val="20E62BD1"/>
    <w:rsid w:val="21486514"/>
    <w:rsid w:val="294F1BAF"/>
    <w:rsid w:val="2CFF3CE2"/>
    <w:rsid w:val="31102C0A"/>
    <w:rsid w:val="421654A6"/>
    <w:rsid w:val="49E46575"/>
    <w:rsid w:val="4BEB6189"/>
    <w:rsid w:val="54542900"/>
    <w:rsid w:val="61A7456F"/>
    <w:rsid w:val="61CD07DD"/>
    <w:rsid w:val="751065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qFormat/>
    <w:uiPriority w:val="0"/>
    <w:rPr>
      <w:rFonts w:ascii="仿宋_GB2312" w:eastAsia="仿宋_GB2312"/>
      <w:b/>
      <w:bCs/>
      <w:kern w:val="44"/>
      <w:sz w:val="44"/>
      <w:szCs w:val="44"/>
    </w:rPr>
  </w:style>
  <w:style w:type="character" w:customStyle="1" w:styleId="12">
    <w:name w:val="标题 Char"/>
    <w:link w:val="6"/>
    <w:qFormat/>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qFormat/>
    <w:uiPriority w:val="0"/>
    <w:pPr>
      <w:widowControl/>
    </w:pPr>
    <w:rPr>
      <w:rFonts w:ascii="Times New Roman" w:eastAsia="宋体"/>
      <w:kern w:val="0"/>
      <w:szCs w:val="21"/>
    </w:rPr>
  </w:style>
  <w:style w:type="paragraph" w:customStyle="1" w:styleId="17">
    <w:name w:val="Char Char Char Char"/>
    <w:basedOn w:val="1"/>
    <w:qFormat/>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4</Pages>
  <Words>1376</Words>
  <Characters>1422</Characters>
  <Lines>1</Lines>
  <Paragraphs>1</Paragraphs>
  <TotalTime>2</TotalTime>
  <ScaleCrop>false</ScaleCrop>
  <LinksUpToDate>false</LinksUpToDate>
  <CharactersWithSpaces>1447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2025-06-26T07:23:00Z</dcterms:created>
  <dc:creator>琪思喵相</dc:creator>
  <cp:keywords>JYJBGS</cp:keywords>
  <cp:lastModifiedBy>琪思喵相</cp:lastModifiedBy>
  <dcterms:modified xsi:type="dcterms:W3CDTF">2025-06-26T07:34:32Z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B61454DEDC4A45B4B4C25AF8F9827452_11</vt:lpwstr>
  </property>
  <property fmtid="{D5CDD505-2E9C-101B-9397-08002B2CF9AE}" pid="4" name="KSOTemplateDocerSaveRecord">
    <vt:lpwstr>eyJoZGlkIjoiYzg3YTJjMjUwZGEyZjJiODFhMTlhYmEzNjdhOWVlZTUiLCJ1c2VySWQiOiI2Nzc3OTk0In0=</vt:lpwstr>
  </property>
</Properties>
</file>