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28AC8">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4072DC11">
      <w:pPr>
        <w:pStyle w:val="4"/>
        <w:bidi w:val="0"/>
        <w:rPr>
          <w:rFonts w:hint="eastAsia"/>
        </w:rPr>
      </w:pPr>
    </w:p>
    <w:p w14:paraId="77F5D1D7">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1BE31EAA">
      <w:pPr>
        <w:spacing w:line="460" w:lineRule="exact"/>
        <w:jc w:val="center"/>
        <w:rPr>
          <w:rFonts w:ascii="Times New Roman"/>
          <w:sz w:val="32"/>
          <w:szCs w:val="32"/>
          <w:lang/>
        </w:rPr>
      </w:pPr>
    </w:p>
    <w:p w14:paraId="16E4B128">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rPr>
        <w:t>苏教办复第</w:t>
      </w:r>
      <w:r>
        <w:rPr>
          <w:rFonts w:hint="eastAsia" w:ascii="仿宋" w:hAnsi="仿宋" w:eastAsia="仿宋" w:cs="仿宋"/>
          <w:snapToGrid w:val="0"/>
          <w:kern w:val="0"/>
          <w:sz w:val="32"/>
          <w:szCs w:val="32"/>
          <w:lang w:val="en-US" w:eastAsia="zh-CN"/>
        </w:rPr>
        <w:t>177</w:t>
      </w:r>
      <w:r>
        <w:rPr>
          <w:rFonts w:hint="eastAsia" w:ascii="仿宋" w:hAnsi="仿宋" w:eastAsia="仿宋" w:cs="仿宋"/>
          <w:snapToGrid w:val="0"/>
          <w:kern w:val="0"/>
          <w:sz w:val="32"/>
          <w:szCs w:val="32"/>
          <w:lang/>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096D3B06">
      <w:pPr>
        <w:spacing w:line="570" w:lineRule="exact"/>
        <w:jc w:val="center"/>
        <w:rPr>
          <w:rFonts w:ascii="Times New Roman" w:eastAsia="仿宋"/>
          <w:snapToGrid w:val="0"/>
          <w:kern w:val="0"/>
          <w:sz w:val="32"/>
          <w:szCs w:val="32"/>
          <w:lang/>
        </w:rPr>
      </w:pPr>
      <w:r>
        <w:rPr>
          <w:rFonts w:ascii="Times New Roman" w:eastAsia="仿宋"/>
          <w:kern w:val="0"/>
          <w:sz w:val="32"/>
          <w:szCs w:val="32"/>
          <w:lang/>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Sp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5H4H1AAA&#10;AAUBAAAPAAAAAAAAAAEAIAAAACIAAABkcnMvZG93bnJldi54bWxQSwECFAAUAAAACACHTuJAwFsN&#10;tekBAADcAwAADgAAAAAAAAABACAAAAAjAQAAZHJzL2Uyb0RvYy54bWxQSwUGAAAAAAYABgBZAQAA&#10;fgUAAAAA&#10;">
                <v:fill on="f" focussize="0,0"/>
                <v:stroke weight="1.5pt" color="#FF0000" joinstyle="round"/>
                <v:imagedata o:title=""/>
                <o:lock v:ext="edit" aspectratio="f"/>
              </v:line>
            </w:pict>
          </mc:Fallback>
        </mc:AlternateContent>
      </w:r>
    </w:p>
    <w:p w14:paraId="7BC3B127">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4976D146">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527</w:t>
      </w:r>
      <w:r>
        <w:rPr>
          <w:rFonts w:hint="eastAsia" w:ascii="方正小标宋简体" w:eastAsia="方正小标宋简体"/>
          <w:kern w:val="0"/>
          <w:sz w:val="44"/>
          <w:szCs w:val="44"/>
        </w:rPr>
        <w:t>号提案的答复</w:t>
      </w:r>
    </w:p>
    <w:p w14:paraId="1F09D194">
      <w:pPr>
        <w:rPr>
          <w:rFonts w:ascii="仿宋" w:hAnsi="仿宋" w:eastAsia="仿宋"/>
          <w:sz w:val="32"/>
          <w:szCs w:val="32"/>
        </w:rPr>
      </w:pPr>
    </w:p>
    <w:p w14:paraId="0459B7EB">
      <w:pPr>
        <w:pStyle w:val="21"/>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lang w:eastAsia="zh-CN"/>
        </w:rPr>
      </w:pPr>
      <w:r>
        <w:rPr>
          <w:rFonts w:hint="eastAsia"/>
          <w:lang w:eastAsia="zh-CN"/>
        </w:rPr>
        <w:t>陈欣委员：</w:t>
      </w:r>
    </w:p>
    <w:p w14:paraId="4BE3F4ED">
      <w:pPr>
        <w:pStyle w:val="15"/>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lang w:eastAsia="zh-CN"/>
        </w:rPr>
      </w:pPr>
      <w:r>
        <w:rPr>
          <w:rFonts w:hint="eastAsia"/>
          <w:lang w:eastAsia="zh-CN"/>
        </w:rPr>
        <w:t>您提出的《关于推进学校社会工作的普及与发展，助力学生积极成长的建议》</w:t>
      </w:r>
      <w:r>
        <w:rPr>
          <w:rFonts w:hint="eastAsia"/>
        </w:rPr>
        <w:t>的提案</w:t>
      </w:r>
      <w:r>
        <w:rPr>
          <w:rFonts w:hint="eastAsia"/>
          <w:lang w:eastAsia="zh-CN"/>
        </w:rPr>
        <w:t>收悉。现答复如下：</w:t>
      </w:r>
    </w:p>
    <w:p w14:paraId="0D7C9C7B">
      <w:pPr>
        <w:pStyle w:val="15"/>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lang w:val="en-US" w:eastAsia="zh-CN"/>
        </w:rPr>
      </w:pPr>
      <w:r>
        <w:rPr>
          <w:rFonts w:hint="eastAsia"/>
        </w:rPr>
        <w:t>社工队伍是推动社会建设、促进社会和谐的专业力量，也是助力家庭教育、护航学生成长的重要依托。</w:t>
      </w:r>
      <w:r>
        <w:rPr>
          <w:rFonts w:hint="eastAsia"/>
          <w:lang w:val="en-US" w:eastAsia="zh-CN"/>
        </w:rPr>
        <w:t>苏州市</w:t>
      </w:r>
      <w:r>
        <w:rPr>
          <w:rFonts w:hint="eastAsia"/>
          <w:rtl w:val="0"/>
          <w:lang w:val="en-US" w:eastAsia="zh-CN"/>
        </w:rPr>
        <w:t>立足学生健康成长和全面发展，</w:t>
      </w:r>
      <w:r>
        <w:rPr>
          <w:rFonts w:hint="eastAsia"/>
          <w:lang w:val="en-US" w:eastAsia="zh-CN"/>
        </w:rPr>
        <w:t>将学校社会工作协同育人作为优服务、护成长、促发展的重要举措，实现了学校社会工作“政府有为、社会有位、专业有效”。</w:t>
      </w:r>
    </w:p>
    <w:p w14:paraId="09FB7155">
      <w:pPr>
        <w:pStyle w:val="15"/>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rtl w:val="0"/>
          <w:lang w:val="en-US" w:eastAsia="zh-CN"/>
        </w:rPr>
      </w:pPr>
      <w:r>
        <w:rPr>
          <w:rStyle w:val="23"/>
          <w:rFonts w:hint="eastAsia"/>
          <w:rtl w:val="0"/>
          <w:lang w:val="en-US" w:eastAsia="zh-CN"/>
        </w:rPr>
        <w:t>一是建机制，</w:t>
      </w:r>
      <w:r>
        <w:rPr>
          <w:rStyle w:val="23"/>
          <w:rFonts w:hint="eastAsia"/>
          <w:lang w:val="en-US" w:eastAsia="zh-CN"/>
        </w:rPr>
        <w:t>形成校社协同育人新格局</w:t>
      </w:r>
      <w:r>
        <w:rPr>
          <w:rStyle w:val="23"/>
          <w:rFonts w:hint="eastAsia"/>
          <w:rtl w:val="0"/>
          <w:lang w:val="en-US" w:eastAsia="zh-CN"/>
        </w:rPr>
        <w:t>。</w:t>
      </w:r>
      <w:r>
        <w:rPr>
          <w:rFonts w:hint="default"/>
          <w:rtl w:val="0"/>
          <w:lang w:val="en-US" w:eastAsia="zh-CN"/>
        </w:rPr>
        <w:t>以“学校主导、社工协同、家庭尽责、社会支持”为目标</w:t>
      </w:r>
      <w:r>
        <w:rPr>
          <w:rFonts w:hint="eastAsia"/>
          <w:rtl w:val="0"/>
          <w:lang w:val="en-US" w:eastAsia="zh-CN"/>
        </w:rPr>
        <w:t>，形成了高位统筹、行动协同、职责明确的学校社会工作推进机制</w:t>
      </w:r>
      <w:r>
        <w:rPr>
          <w:rFonts w:hint="default"/>
          <w:rtl w:val="0"/>
          <w:lang w:val="en-US" w:eastAsia="zh-CN"/>
        </w:rPr>
        <w:t>。</w:t>
      </w:r>
      <w:r>
        <w:rPr>
          <w:rFonts w:hint="eastAsia"/>
          <w:rtl w:val="0"/>
          <w:lang w:val="en-US" w:eastAsia="zh-CN"/>
        </w:rPr>
        <w:t>搭建部门协同机制。高位推动、</w:t>
      </w:r>
      <w:r>
        <w:rPr>
          <w:rFonts w:hint="eastAsia"/>
          <w:lang w:val="en-US" w:eastAsia="zh-CN"/>
        </w:rPr>
        <w:t>统筹联动，</w:t>
      </w:r>
      <w:r>
        <w:rPr>
          <w:rFonts w:hint="eastAsia"/>
          <w:rtl w:val="0"/>
          <w:lang w:val="en-US" w:eastAsia="zh-CN"/>
        </w:rPr>
        <w:t>苏州市委市政府高度重视，将“驻校社工”心理健康服务项目列入2024年苏州市政府</w:t>
      </w:r>
      <w:r>
        <w:rPr>
          <w:rFonts w:hint="eastAsia"/>
          <w:lang w:val="en-US" w:eastAsia="zh-CN"/>
        </w:rPr>
        <w:t>民生实事项目，给予790万元专项经费保障，确保驻校社工报酬、培训、督导等资金。教育、</w:t>
      </w:r>
      <w:r>
        <w:rPr>
          <w:rFonts w:hint="eastAsia"/>
          <w:rtl w:val="0"/>
          <w:lang w:val="en-US" w:eastAsia="zh-CN"/>
        </w:rPr>
        <w:t>民政部门建立常态联络沟通工作机制，</w:t>
      </w:r>
      <w:r>
        <w:rPr>
          <w:rFonts w:hint="eastAsia"/>
          <w:lang w:val="en-US" w:eastAsia="zh-CN"/>
        </w:rPr>
        <w:t>在苏州市未成年人心理健康宣传月启动仪式上发布“驻校社工”项目</w:t>
      </w:r>
      <w:r>
        <w:rPr>
          <w:rFonts w:hint="eastAsia"/>
          <w:rtl w:val="0"/>
          <w:lang w:val="en-US" w:eastAsia="zh-CN"/>
        </w:rPr>
        <w:t>，</w:t>
      </w:r>
      <w:r>
        <w:rPr>
          <w:rFonts w:hint="eastAsia"/>
          <w:lang w:val="en-US" w:eastAsia="zh-CN"/>
        </w:rPr>
        <w:t>召开“驻校社工”心理健康服务项目推进会。</w:t>
      </w:r>
      <w:r>
        <w:rPr>
          <w:rFonts w:hint="eastAsia"/>
          <w:rtl w:val="0"/>
          <w:lang w:val="en-US" w:eastAsia="zh-CN"/>
        </w:rPr>
        <w:t>建立社工配备机制。</w:t>
      </w:r>
      <w:r>
        <w:rPr>
          <w:rFonts w:hint="eastAsia"/>
          <w:lang w:val="en-US" w:eastAsia="zh-CN"/>
        </w:rPr>
        <w:t>以心理咨询室为载体，为试点学校配备学校不少于20平方米的社会工作站，包括个案工作室和社工办公室，配置必需的办公设施设备和服务物资器材，并相对固定一个小型会议室作为小组工作室使用。按照每所试点学校至少配备1名驻校社工的标准，通过政府购买服务方式确定承接服务机构，由承接机构向学校派驻社工提供服务，面向学校全体学生提供心理干预、个案服务、社工课堂等专项服务。</w:t>
      </w:r>
      <w:r>
        <w:rPr>
          <w:rFonts w:hint="eastAsia"/>
          <w:rtl w:val="0"/>
          <w:lang w:val="en-US" w:eastAsia="zh-CN"/>
        </w:rPr>
        <w:t>健全“家校”联动机制。</w:t>
      </w:r>
      <w:r>
        <w:rPr>
          <w:rFonts w:hint="eastAsia"/>
          <w:lang w:val="en-US" w:eastAsia="zh-CN"/>
        </w:rPr>
        <w:t>完善发现通报机制，提升教职工及驻校社工的发现能力，畅通报告渠道，开展综合评估，及时将在校困境儿童纳入帮扶视野。对个案服务对象家庭开展专业性的登门拜访，进而全面了解或评估个案服务对象情况，制定更为科学的服务计划。</w:t>
      </w:r>
      <w:r>
        <w:rPr>
          <w:rFonts w:hint="eastAsia"/>
          <w:rtl w:val="0"/>
          <w:lang w:val="en-US" w:eastAsia="zh-CN"/>
        </w:rPr>
        <w:t>将学校社会工作“专业服务”切实转化为“服务口碑”，使社工成为校方、家长和学生认同的专业力量。</w:t>
      </w:r>
      <w:r>
        <w:rPr>
          <w:rFonts w:hint="eastAsia"/>
          <w:lang w:val="en-US" w:eastAsia="zh-CN"/>
        </w:rPr>
        <w:t xml:space="preserve"> </w:t>
      </w:r>
    </w:p>
    <w:p w14:paraId="7E019044">
      <w:pPr>
        <w:pStyle w:val="1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rtl w:val="0"/>
          <w:lang w:val="en-US" w:eastAsia="zh-CN"/>
        </w:rPr>
      </w:pPr>
      <w:r>
        <w:rPr>
          <w:rStyle w:val="23"/>
          <w:rFonts w:hint="eastAsia"/>
          <w:rtl w:val="0"/>
          <w:lang w:val="en-US" w:eastAsia="zh-CN"/>
        </w:rPr>
        <w:t>二是强标准，打造专业社工培育新高地。</w:t>
      </w:r>
      <w:r>
        <w:rPr>
          <w:rFonts w:hint="eastAsia"/>
          <w:rtl w:val="0"/>
          <w:lang w:val="en-US" w:eastAsia="zh-CN"/>
        </w:rPr>
        <w:t>规范社工服务建设，提升社工专业能力，加强社工服务督导，以高的建设标准确保高的服务质量。推动行业规范服务。研制《苏州市学校社会工作服务指引》《苏州市学校社会工作服务指南》《苏州市盲聋学校社会工作服务指南》等手册标准，制定</w:t>
      </w:r>
      <w:r>
        <w:rPr>
          <w:rFonts w:hint="eastAsia"/>
        </w:rPr>
        <w:t>《关于在全市中小学校开展驻校社会工作试点的实施方案》</w:t>
      </w:r>
      <w:r>
        <w:t>《苏州市学校社会工作服务指南》《学校社工项目购买服务经费使用管理规定》等</w:t>
      </w:r>
      <w:r>
        <w:rPr>
          <w:rFonts w:hint="eastAsia"/>
          <w:lang w:eastAsia="zh-CN"/>
        </w:rPr>
        <w:t>政策</w:t>
      </w:r>
      <w:r>
        <w:t>文件</w:t>
      </w:r>
      <w:r>
        <w:rPr>
          <w:rFonts w:hint="eastAsia"/>
        </w:rPr>
        <w:t>，</w:t>
      </w:r>
      <w:r>
        <w:rPr>
          <w:rFonts w:hint="eastAsia"/>
          <w:rtl w:val="0"/>
          <w:lang w:val="en-US" w:eastAsia="zh-CN"/>
        </w:rPr>
        <w:t>确保服务质量，提升服务效率，增强了服务的透明度和可问责性，促进驻校社工工作专业发展。重点构建专业</w:t>
      </w:r>
      <w:r>
        <w:rPr>
          <w:rFonts w:hint="default"/>
          <w:rtl w:val="0"/>
          <w:lang w:val="en-US" w:eastAsia="zh-CN"/>
        </w:rPr>
        <w:t>支持</w:t>
      </w:r>
      <w:r>
        <w:rPr>
          <w:rFonts w:hint="eastAsia"/>
          <w:rtl w:val="0"/>
          <w:lang w:val="en-US" w:eastAsia="zh-CN"/>
        </w:rPr>
        <w:t>。在社工人才队伍建设方面，苏州市着力打造数量充足、结构合理、素质优良的专业队伍。截至2024年，全市取得全国社会工作者职业资格人数新增5092人，累计持证人数达31110人，其中中级社工6178人，高级社会工作师18人，人才队伍规模和质量实现双提升。社工进驻学校前，组织专业力量对所有社工进行为期2个月的系统性、专业化培训，提升基层社工在学校社会工作专业服务方面的能力。</w:t>
      </w:r>
      <w:r>
        <w:rPr>
          <w:rFonts w:hint="default"/>
          <w:rtl w:val="0"/>
          <w:lang w:val="en-US" w:eastAsia="zh-CN"/>
        </w:rPr>
        <w:t>推动“学校社会工作站”与“市社会工作服务指导中心”联动发展，为</w:t>
      </w:r>
      <w:r>
        <w:rPr>
          <w:rFonts w:hint="default"/>
          <w:lang w:val="en-US" w:eastAsia="zh-CN"/>
        </w:rPr>
        <w:t>学校社会工作提供专家会诊、现场督导等服务</w:t>
      </w:r>
      <w:r>
        <w:rPr>
          <w:rFonts w:hint="eastAsia"/>
          <w:rtl w:val="0"/>
          <w:lang w:val="en-US" w:eastAsia="zh-CN"/>
        </w:rPr>
        <w:t>。强化内外联合督导。加强对驻校社工试点工作过程的跟踪随访与调研评估，根据项目要求对驻校社工心理健康服务项目实施后的绩效情况进行考核验收。</w:t>
      </w:r>
      <w:r>
        <w:rPr>
          <w:rFonts w:hint="eastAsia"/>
          <w:lang w:val="en-US" w:eastAsia="zh-CN"/>
        </w:rPr>
        <w:t>选定第三方专业机构作为社工进校园项目的督导评估机构，在苏州市未保中心设立“驻校社工”心理健康服务督导中心，每个月对社工进行团体督导和个案督导。</w:t>
      </w:r>
    </w:p>
    <w:p w14:paraId="4653C5C6">
      <w:pPr>
        <w:pStyle w:val="15"/>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lang w:eastAsia="zh-CN"/>
        </w:rPr>
      </w:pPr>
      <w:r>
        <w:rPr>
          <w:rStyle w:val="23"/>
          <w:rFonts w:hint="eastAsia"/>
          <w:lang w:val="en-US" w:eastAsia="zh-CN"/>
        </w:rPr>
        <w:t>三是优服务，</w:t>
      </w:r>
      <w:r>
        <w:rPr>
          <w:rStyle w:val="23"/>
          <w:rFonts w:hint="eastAsia"/>
          <w:rtl w:val="0"/>
          <w:lang w:val="en-US" w:eastAsia="zh-CN"/>
        </w:rPr>
        <w:t>构建学校社会工作新模式</w:t>
      </w:r>
      <w:r>
        <w:rPr>
          <w:rStyle w:val="23"/>
          <w:rFonts w:hint="default"/>
          <w:lang w:val="en-US" w:eastAsia="zh-CN"/>
        </w:rPr>
        <w:t>。</w:t>
      </w:r>
      <w:r>
        <w:rPr>
          <w:rFonts w:hint="eastAsia"/>
          <w:lang w:val="en-US" w:eastAsia="zh-CN"/>
        </w:rPr>
        <w:t>充分发挥“服务提供者、关系协调者、情感支持者、增力赋能者”的专业职能，</w:t>
      </w:r>
      <w:r>
        <w:rPr>
          <w:rFonts w:hint="default"/>
          <w:lang w:val="en-US" w:eastAsia="zh-CN"/>
        </w:rPr>
        <w:t>将</w:t>
      </w:r>
      <w:r>
        <w:rPr>
          <w:rFonts w:hint="eastAsia"/>
          <w:lang w:val="en-US" w:eastAsia="zh-CN"/>
        </w:rPr>
        <w:t>社工</w:t>
      </w:r>
      <w:r>
        <w:rPr>
          <w:rFonts w:hint="default"/>
          <w:lang w:val="en-US" w:eastAsia="zh-CN"/>
        </w:rPr>
        <w:t>服务站点输送至教育最前沿</w:t>
      </w:r>
      <w:r>
        <w:rPr>
          <w:rFonts w:hint="eastAsia"/>
          <w:lang w:val="en-US" w:eastAsia="zh-CN"/>
        </w:rPr>
        <w:t>，探索学校社会工作新模式，助力学生身心健康成长。</w:t>
      </w:r>
      <w:r>
        <w:rPr>
          <w:rFonts w:hint="eastAsia"/>
          <w:rtl w:val="0"/>
          <w:lang w:val="en-US" w:eastAsia="zh-CN"/>
        </w:rPr>
        <w:t>联合开展心理筛查。在试点学校建立未成年人心理健康筛查和早期干预机制，形成了“100%全面筛查-15%积极预防-5%个案干预”模式，即面向100%的学生开展心理健康筛查，建立学生成长跟踪档案，评估学生面临的风险；面向15%处于风险边缘学生，成立行为、情绪障碍干预小组进行积极预防；面向5%“高危”学生，进行功能性行为评估、精准个案干预。开展社工个案服务。</w:t>
      </w:r>
      <w:r>
        <w:rPr>
          <w:rFonts w:hint="eastAsia"/>
          <w:lang w:val="en-US" w:eastAsia="zh-CN"/>
        </w:rPr>
        <w:t>对适应不良、遭遇重大挫折或出现情绪和行为问题的未成年人提供个案服务，对受到欺凌、虐待、性侵、性骚扰等伤害，或有轻生倾向，或遇到突发事件和灾难的未成年人，及时开展危机干预。通过电话、面对面或在线等方式，为有困难和问题的未成年人提供知识和技术以及指导等咨询服务。</w:t>
      </w:r>
      <w:r>
        <w:rPr>
          <w:rFonts w:hint="eastAsia"/>
          <w:rtl w:val="0"/>
          <w:lang w:val="en-US" w:eastAsia="zh-CN"/>
        </w:rPr>
        <w:t>实施社工个性服务。</w:t>
      </w:r>
      <w:r>
        <w:rPr>
          <w:rFonts w:hint="eastAsia"/>
          <w:lang w:val="en-US" w:eastAsia="zh-CN"/>
        </w:rPr>
        <w:t>协助未成年人适应环境、完成学业、管理情绪和协调关系，帮助其解决难题。为不同年级的未成年人开展个性指导，</w:t>
      </w:r>
      <w:r>
        <w:rPr>
          <w:rFonts w:hint="default"/>
          <w:rtl w:val="0"/>
          <w:lang w:val="en-US" w:eastAsia="zh-CN"/>
        </w:rPr>
        <w:t>以学生生涯与社会发展、自我认知为核心主题，联合研发基础类、拓展类、特需类的社工课程，满足学生多元发展需求</w:t>
      </w:r>
      <w:r>
        <w:rPr>
          <w:rFonts w:hint="eastAsia"/>
          <w:rtl w:val="0"/>
          <w:lang w:val="en-US" w:eastAsia="zh-CN"/>
        </w:rPr>
        <w:t>。</w:t>
      </w:r>
    </w:p>
    <w:p w14:paraId="2EB2DDA1">
      <w:pPr>
        <w:pStyle w:val="1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lang w:val="en-US" w:eastAsia="zh-CN"/>
        </w:rPr>
      </w:pPr>
      <w:r>
        <w:rPr>
          <w:rFonts w:hint="eastAsia"/>
          <w:lang w:val="en-US" w:eastAsia="zh-CN"/>
        </w:rPr>
        <w:t>您的建议给了我们很大的启发，下一步我们将围绕提案建议，立足职能定位，协同教育部门，以强化人才支撑作为重点方向，为青少年健康成长提供坚实保障。一是发动更多社会工作从业者参与职业资格考核，扩大社工队伍，建好学校社工队伍基础方阵。二是推荐具有心理服务基础的社会工作者参加全市心理健康服务队伍培训，提高面向青少年心理社会工作服务能力。三是举办社工专业技能大赛，通过以赛促技，提高包括学校社工在内的专业社工技能。四是设计更多的社工服务场景，加强家校社联动，提高学校社会工作的服务效益。</w:t>
      </w:r>
    </w:p>
    <w:p w14:paraId="3BC5A41C">
      <w:pPr>
        <w:pStyle w:val="15"/>
        <w:keepNext w:val="0"/>
        <w:keepLines w:val="0"/>
        <w:pageBreakBefore w:val="0"/>
        <w:widowControl w:val="0"/>
        <w:kinsoku/>
        <w:wordWrap/>
        <w:overflowPunct/>
        <w:topLinePunct w:val="0"/>
        <w:autoSpaceDE/>
        <w:autoSpaceDN/>
        <w:bidi w:val="0"/>
        <w:adjustRightInd/>
        <w:snapToGrid/>
        <w:spacing w:line="590" w:lineRule="exact"/>
        <w:textAlignment w:val="auto"/>
      </w:pPr>
      <w:r>
        <w:rPr>
          <w:rFonts w:hint="eastAsia"/>
        </w:rPr>
        <w:t>最后</w:t>
      </w:r>
      <w:r>
        <w:t>，</w:t>
      </w:r>
      <w:r>
        <w:rPr>
          <w:rFonts w:hint="eastAsia"/>
        </w:rPr>
        <w:t>感谢您</w:t>
      </w:r>
      <w:r>
        <w:t>对教育的理解和支持！</w:t>
      </w:r>
    </w:p>
    <w:p w14:paraId="69A78EA3">
      <w:pPr>
        <w:ind w:firstLine="640" w:firstLineChars="200"/>
        <w:rPr>
          <w:rFonts w:ascii="仿宋" w:hAnsi="仿宋" w:eastAsia="仿宋"/>
          <w:sz w:val="32"/>
          <w:szCs w:val="32"/>
        </w:rPr>
      </w:pPr>
    </w:p>
    <w:p w14:paraId="72867C30">
      <w:pPr>
        <w:ind w:firstLine="640" w:firstLineChars="200"/>
        <w:rPr>
          <w:rFonts w:ascii="仿宋" w:hAnsi="仿宋" w:eastAsia="仿宋"/>
          <w:sz w:val="32"/>
          <w:szCs w:val="32"/>
        </w:rPr>
      </w:pPr>
    </w:p>
    <w:p w14:paraId="6164A6DF">
      <w:pPr>
        <w:ind w:firstLine="640" w:firstLineChars="200"/>
        <w:rPr>
          <w:rFonts w:ascii="仿宋" w:hAnsi="仿宋" w:eastAsia="仿宋"/>
          <w:sz w:val="32"/>
          <w:szCs w:val="32"/>
        </w:rPr>
      </w:pPr>
    </w:p>
    <w:p w14:paraId="0050DE5C">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394FBDB2">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26</w:t>
      </w:r>
      <w:r>
        <w:rPr>
          <w:rFonts w:ascii="仿宋" w:hAnsi="仿宋" w:eastAsia="仿宋"/>
          <w:sz w:val="32"/>
          <w:szCs w:val="32"/>
        </w:rPr>
        <w:t>日</w:t>
      </w:r>
    </w:p>
    <w:p w14:paraId="7A6338A6">
      <w:pPr>
        <w:rPr>
          <w:rFonts w:ascii="仿宋" w:hAnsi="仿宋" w:eastAsia="仿宋"/>
          <w:sz w:val="32"/>
          <w:szCs w:val="32"/>
        </w:rPr>
      </w:pPr>
      <w:r>
        <w:rPr>
          <w:rFonts w:ascii="仿宋" w:hAnsi="仿宋" w:eastAsia="仿宋"/>
          <w:sz w:val="32"/>
          <w:szCs w:val="32"/>
        </w:rPr>
        <w:br w:type="page"/>
      </w:r>
    </w:p>
    <w:p w14:paraId="5C5AFDAC">
      <w:pPr>
        <w:rPr>
          <w:rFonts w:ascii="仿宋" w:hAnsi="仿宋" w:eastAsia="仿宋"/>
          <w:sz w:val="32"/>
          <w:szCs w:val="32"/>
        </w:rPr>
      </w:pPr>
    </w:p>
    <w:p w14:paraId="45CFD7AE">
      <w:pPr>
        <w:rPr>
          <w:rFonts w:ascii="仿宋" w:hAnsi="仿宋" w:eastAsia="仿宋"/>
          <w:sz w:val="32"/>
          <w:szCs w:val="32"/>
        </w:rPr>
      </w:pPr>
    </w:p>
    <w:p w14:paraId="688CC14B">
      <w:pPr>
        <w:rPr>
          <w:rFonts w:ascii="仿宋" w:hAnsi="仿宋" w:eastAsia="仿宋"/>
          <w:sz w:val="32"/>
          <w:szCs w:val="32"/>
        </w:rPr>
      </w:pPr>
    </w:p>
    <w:p w14:paraId="096AB5C8">
      <w:pPr>
        <w:rPr>
          <w:rFonts w:ascii="仿宋" w:hAnsi="仿宋" w:eastAsia="仿宋"/>
          <w:sz w:val="32"/>
          <w:szCs w:val="32"/>
        </w:rPr>
      </w:pPr>
    </w:p>
    <w:p w14:paraId="39D594E1">
      <w:pPr>
        <w:rPr>
          <w:rFonts w:ascii="仿宋" w:hAnsi="仿宋" w:eastAsia="仿宋"/>
          <w:sz w:val="32"/>
          <w:szCs w:val="32"/>
        </w:rPr>
      </w:pPr>
    </w:p>
    <w:p w14:paraId="150FE12A">
      <w:pPr>
        <w:rPr>
          <w:rFonts w:ascii="仿宋" w:hAnsi="仿宋" w:eastAsia="仿宋"/>
          <w:sz w:val="32"/>
          <w:szCs w:val="32"/>
        </w:rPr>
      </w:pPr>
    </w:p>
    <w:p w14:paraId="01D31D4A">
      <w:pPr>
        <w:rPr>
          <w:rFonts w:ascii="仿宋" w:hAnsi="仿宋" w:eastAsia="仿宋"/>
          <w:sz w:val="32"/>
          <w:szCs w:val="32"/>
        </w:rPr>
      </w:pPr>
    </w:p>
    <w:p w14:paraId="07A895E3">
      <w:pPr>
        <w:rPr>
          <w:rFonts w:ascii="仿宋" w:hAnsi="仿宋" w:eastAsia="仿宋"/>
          <w:sz w:val="32"/>
          <w:szCs w:val="32"/>
        </w:rPr>
      </w:pPr>
    </w:p>
    <w:p w14:paraId="3361C53D">
      <w:pPr>
        <w:rPr>
          <w:rFonts w:ascii="仿宋" w:hAnsi="仿宋" w:eastAsia="仿宋"/>
          <w:sz w:val="32"/>
          <w:szCs w:val="32"/>
        </w:rPr>
      </w:pPr>
    </w:p>
    <w:p w14:paraId="1375571E">
      <w:pPr>
        <w:rPr>
          <w:rFonts w:ascii="仿宋" w:hAnsi="仿宋" w:eastAsia="仿宋"/>
          <w:sz w:val="32"/>
          <w:szCs w:val="32"/>
        </w:rPr>
      </w:pPr>
    </w:p>
    <w:p w14:paraId="309EE9A7">
      <w:pPr>
        <w:rPr>
          <w:rFonts w:ascii="仿宋" w:hAnsi="仿宋" w:eastAsia="仿宋"/>
          <w:sz w:val="32"/>
          <w:szCs w:val="32"/>
        </w:rPr>
      </w:pPr>
    </w:p>
    <w:p w14:paraId="28D06575">
      <w:pPr>
        <w:rPr>
          <w:rFonts w:ascii="仿宋" w:hAnsi="仿宋" w:eastAsia="仿宋"/>
          <w:sz w:val="32"/>
          <w:szCs w:val="32"/>
        </w:rPr>
      </w:pPr>
    </w:p>
    <w:p w14:paraId="3A0841CD">
      <w:pPr>
        <w:rPr>
          <w:rFonts w:ascii="仿宋" w:hAnsi="仿宋" w:eastAsia="仿宋"/>
          <w:sz w:val="32"/>
          <w:szCs w:val="32"/>
        </w:rPr>
      </w:pPr>
    </w:p>
    <w:p w14:paraId="2B99A083">
      <w:pPr>
        <w:rPr>
          <w:rFonts w:ascii="仿宋" w:hAnsi="仿宋" w:eastAsia="仿宋"/>
          <w:sz w:val="32"/>
          <w:szCs w:val="32"/>
        </w:rPr>
      </w:pPr>
    </w:p>
    <w:p w14:paraId="1E26105A">
      <w:pPr>
        <w:rPr>
          <w:rFonts w:ascii="仿宋" w:hAnsi="仿宋" w:eastAsia="仿宋"/>
          <w:sz w:val="32"/>
          <w:szCs w:val="32"/>
        </w:rPr>
      </w:pPr>
      <w:bookmarkStart w:id="0" w:name="_GoBack"/>
      <w:bookmarkEnd w:id="0"/>
    </w:p>
    <w:p w14:paraId="445632E0">
      <w:pPr>
        <w:rPr>
          <w:rFonts w:ascii="仿宋" w:hAnsi="仿宋" w:eastAsia="仿宋"/>
          <w:sz w:val="32"/>
          <w:szCs w:val="32"/>
        </w:rPr>
      </w:pPr>
    </w:p>
    <w:p w14:paraId="18CEAB62">
      <w:pPr>
        <w:rPr>
          <w:rFonts w:ascii="仿宋" w:hAnsi="仿宋" w:eastAsia="仿宋"/>
          <w:sz w:val="32"/>
          <w:szCs w:val="32"/>
        </w:rPr>
      </w:pPr>
    </w:p>
    <w:p w14:paraId="0D4371F1">
      <w:pPr>
        <w:rPr>
          <w:rFonts w:ascii="仿宋" w:hAnsi="仿宋" w:eastAsia="仿宋"/>
          <w:sz w:val="32"/>
          <w:szCs w:val="32"/>
        </w:rPr>
      </w:pPr>
    </w:p>
    <w:p w14:paraId="7ECF7451">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7E6C2223">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596FE865">
      <w:pPr>
        <w:pStyle w:val="21"/>
        <w:bidi w:val="0"/>
        <w:rPr>
          <w:rFonts w:hint="eastAsia"/>
          <w:lang w:eastAsia="zh-CN"/>
        </w:rPr>
      </w:pPr>
      <w:r>
        <w:rPr>
          <w:rFonts w:hint="eastAsia"/>
        </w:rPr>
        <w:t>抄</w:t>
      </w:r>
      <w:r>
        <w:t xml:space="preserve">      </w:t>
      </w:r>
      <w:r>
        <w:rPr>
          <w:rFonts w:hint="eastAsia"/>
        </w:rPr>
        <w:t>送：市政府办公室、市政协提案委</w:t>
      </w:r>
      <w:r>
        <w:rPr>
          <w:rFonts w:hint="eastAsia"/>
          <w:lang w:eastAsia="zh-CN"/>
        </w:rPr>
        <w:t>、</w:t>
      </w:r>
      <w:r>
        <w:t>市委社会工作部</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0287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F19CBB">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39F19CBB">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F0A0F">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lang/>
      </w:rPr>
      <w:t>- 2 -</w:t>
    </w:r>
    <w:r>
      <w:rPr>
        <w:rFonts w:ascii="宋体" w:hAnsi="宋体" w:eastAsia="宋体"/>
        <w:sz w:val="28"/>
        <w:szCs w:val="28"/>
      </w:rPr>
      <w:fldChar w:fldCharType="end"/>
    </w:r>
  </w:p>
  <w:p w14:paraId="0971118D">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C420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565DD">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591B2969"/>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AD82C3E"/>
    <w:rsid w:val="101A2ED3"/>
    <w:rsid w:val="143B2E41"/>
    <w:rsid w:val="20E62BD1"/>
    <w:rsid w:val="21486514"/>
    <w:rsid w:val="294F1BAF"/>
    <w:rsid w:val="2CFF3CE2"/>
    <w:rsid w:val="49E46575"/>
    <w:rsid w:val="4BEB6189"/>
    <w:rsid w:val="54542900"/>
    <w:rsid w:val="55A21B1F"/>
    <w:rsid w:val="591B2969"/>
    <w:rsid w:val="61A7456F"/>
    <w:rsid w:val="61CD07DD"/>
    <w:rsid w:val="751065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uiPriority w:val="99"/>
    <w:tblPr>
      <w:tblStyle w:val="7"/>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1 Char"/>
    <w:link w:val="2"/>
    <w:uiPriority w:val="0"/>
    <w:rPr>
      <w:rFonts w:ascii="仿宋_GB2312" w:eastAsia="仿宋_GB2312"/>
      <w:b/>
      <w:bCs/>
      <w:kern w:val="44"/>
      <w:sz w:val="44"/>
      <w:szCs w:val="44"/>
    </w:rPr>
  </w:style>
  <w:style w:type="character" w:customStyle="1" w:styleId="12">
    <w:name w:val="标题 Char"/>
    <w:link w:val="6"/>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uiPriority w:val="0"/>
    <w:pPr>
      <w:widowControl/>
    </w:pPr>
    <w:rPr>
      <w:rFonts w:ascii="Times New Roman" w:eastAsia="宋体"/>
      <w:kern w:val="0"/>
      <w:szCs w:val="21"/>
    </w:rPr>
  </w:style>
  <w:style w:type="paragraph" w:customStyle="1" w:styleId="17">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link w:val="23"/>
    <w:qFormat/>
    <w:uiPriority w:val="0"/>
    <w:pPr>
      <w:ind w:firstLine="640" w:firstLineChars="200"/>
    </w:pPr>
    <w:rPr>
      <w:rFonts w:ascii="黑体" w:eastAsia="黑体"/>
      <w:sz w:val="32"/>
      <w:szCs w:val="32"/>
    </w:rPr>
  </w:style>
  <w:style w:type="paragraph" w:customStyle="1" w:styleId="20">
    <w:name w:val="正文1"/>
    <w:uiPriority w:val="0"/>
    <w:pPr>
      <w:jc w:val="both"/>
    </w:pPr>
    <w:rPr>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uiPriority w:val="0"/>
    <w:pPr>
      <w:widowControl/>
    </w:pPr>
    <w:rPr>
      <w:rFonts w:ascii="Times New Roman" w:eastAsia="宋体"/>
      <w:kern w:val="0"/>
      <w:szCs w:val="21"/>
    </w:rPr>
  </w:style>
  <w:style w:type="character" w:customStyle="1" w:styleId="23">
    <w:name w:val="公文一级目录 Char"/>
    <w:link w:val="19"/>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6</Pages>
  <Words>127</Words>
  <Characters>142</Characters>
  <Lines>1</Lines>
  <Paragraphs>1</Paragraphs>
  <TotalTime>10</TotalTime>
  <ScaleCrop>false</ScaleCrop>
  <LinksUpToDate>false</LinksUpToDate>
  <CharactersWithSpaces>170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2025-06-27T06:05:00Z</dcterms:created>
  <dc:creator>琪思喵相</dc:creator>
  <cp:keywords>JYJBGS</cp:keywords>
  <cp:lastModifiedBy>琪思喵相</cp:lastModifiedBy>
  <dcterms:modified xsi:type="dcterms:W3CDTF">2025-06-27T06:16:46Z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22BD10E9126A4025AD6824357E4F3F84_11</vt:lpwstr>
  </property>
  <property fmtid="{D5CDD505-2E9C-101B-9397-08002B2CF9AE}" pid="4" name="KSOTemplateDocerSaveRecord">
    <vt:lpwstr>eyJoZGlkIjoiYzg3YTJjMjUwZGEyZjJiODFhMTlhYmEzNjdhOWVlZTUiLCJ1c2VySWQiOiI2Nzc3OTk0In0=</vt:lpwstr>
  </property>
</Properties>
</file>