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F2B640">
      <w:pPr>
        <w:spacing w:line="600" w:lineRule="exact"/>
        <w:jc w:val="right"/>
        <w:rPr>
          <w:rFonts w:hint="eastAsia"/>
        </w:rPr>
      </w:pPr>
      <w:r>
        <w:rPr>
          <w:rFonts w:hint="eastAsia" w:ascii="黑体" w:hAnsi="黑体" w:eastAsia="黑体" w:cs="Times New Roman"/>
          <w:w w:val="120"/>
          <w:kern w:val="0"/>
          <w:sz w:val="32"/>
          <w:szCs w:val="32"/>
        </w:rPr>
        <w:t>〔</w:t>
      </w:r>
      <w:r>
        <w:rPr>
          <w:rFonts w:hint="eastAsia" w:ascii="黑体" w:hAnsi="黑体" w:eastAsia="黑体"/>
          <w:w w:val="120"/>
          <w:kern w:val="0"/>
          <w:sz w:val="32"/>
          <w:szCs w:val="32"/>
        </w:rPr>
        <w:t>A</w:t>
      </w:r>
      <w:r>
        <w:rPr>
          <w:rFonts w:hint="eastAsia" w:ascii="黑体" w:hAnsi="黑体" w:eastAsia="黑体" w:cs="Times New Roman"/>
          <w:w w:val="120"/>
          <w:kern w:val="0"/>
          <w:sz w:val="32"/>
          <w:szCs w:val="32"/>
        </w:rPr>
        <w:t>〕</w:t>
      </w:r>
    </w:p>
    <w:p w14:paraId="65D1C368">
      <w:pPr>
        <w:spacing w:line="1300" w:lineRule="exact"/>
        <w:ind w:left="546" w:leftChars="260" w:right="544" w:rightChars="259"/>
        <w:jc w:val="distribute"/>
        <w:rPr>
          <w:rFonts w:ascii="方正小标宋简体" w:eastAsia="方正小标宋简体"/>
          <w:color w:val="FF0000"/>
          <w:w w:val="80"/>
          <w:sz w:val="96"/>
          <w:szCs w:val="96"/>
        </w:rPr>
      </w:pPr>
      <w:r>
        <w:rPr>
          <w:rFonts w:hint="eastAsia" w:ascii="方正小标宋简体" w:eastAsia="方正小标宋简体"/>
          <w:color w:val="FF0000"/>
          <w:w w:val="80"/>
          <w:sz w:val="96"/>
          <w:szCs w:val="96"/>
        </w:rPr>
        <w:t>苏州市教育局</w:t>
      </w:r>
    </w:p>
    <w:p w14:paraId="2113DB73">
      <w:pPr>
        <w:spacing w:line="460" w:lineRule="exact"/>
        <w:jc w:val="center"/>
        <w:rPr>
          <w:rFonts w:ascii="Times New Roman"/>
          <w:sz w:val="32"/>
          <w:szCs w:val="32"/>
        </w:rPr>
      </w:pPr>
    </w:p>
    <w:p w14:paraId="1346890D">
      <w:pPr>
        <w:spacing w:line="570" w:lineRule="exact"/>
        <w:ind w:firstLine="320" w:firstLineChars="100"/>
        <w:jc w:val="center"/>
        <w:rPr>
          <w:rFonts w:hint="eastAsia" w:ascii="仿宋" w:hAnsi="仿宋" w:eastAsia="仿宋" w:cs="仿宋"/>
          <w:snapToGrid w:val="0"/>
          <w:kern w:val="0"/>
          <w:sz w:val="32"/>
          <w:szCs w:val="32"/>
          <w:lang w:eastAsia="zh-CN"/>
        </w:rPr>
      </w:pPr>
      <w:r>
        <w:rPr>
          <w:rFonts w:hint="eastAsia" w:ascii="仿宋" w:hAnsi="仿宋" w:eastAsia="仿宋" w:cs="仿宋"/>
          <w:snapToGrid w:val="0"/>
          <w:kern w:val="0"/>
          <w:sz w:val="32"/>
          <w:szCs w:val="32"/>
        </w:rPr>
        <w:t>〔</w:t>
      </w:r>
      <w:r>
        <w:rPr>
          <w:rFonts w:hint="eastAsia" w:ascii="仿宋" w:hAnsi="仿宋" w:eastAsia="仿宋" w:cs="仿宋"/>
          <w:snapToGrid w:val="0"/>
          <w:kern w:val="0"/>
          <w:sz w:val="32"/>
          <w:szCs w:val="32"/>
          <w:lang w:eastAsia="zh-CN"/>
        </w:rPr>
        <w:t>2025</w:t>
      </w:r>
      <w:r>
        <w:rPr>
          <w:rFonts w:hint="eastAsia" w:ascii="仿宋" w:hAnsi="仿宋" w:eastAsia="仿宋" w:cs="仿宋"/>
          <w:snapToGrid w:val="0"/>
          <w:kern w:val="0"/>
          <w:sz w:val="32"/>
          <w:szCs w:val="32"/>
        </w:rPr>
        <w:t>〕苏教办复第</w:t>
      </w:r>
      <w:r>
        <w:rPr>
          <w:rFonts w:hint="eastAsia" w:ascii="仿宋" w:hAnsi="仿宋" w:eastAsia="仿宋" w:cs="仿宋"/>
          <w:snapToGrid w:val="0"/>
          <w:kern w:val="0"/>
          <w:sz w:val="32"/>
          <w:szCs w:val="32"/>
          <w:lang w:val="en-US" w:eastAsia="zh-CN"/>
        </w:rPr>
        <w:t>134</w:t>
      </w:r>
      <w:r>
        <w:rPr>
          <w:rFonts w:hint="eastAsia" w:ascii="仿宋" w:hAnsi="仿宋" w:eastAsia="仿宋" w:cs="仿宋"/>
          <w:snapToGrid w:val="0"/>
          <w:kern w:val="0"/>
          <w:sz w:val="32"/>
          <w:szCs w:val="32"/>
        </w:rPr>
        <w:t xml:space="preserve">号                 </w:t>
      </w:r>
      <w:r>
        <w:rPr>
          <w:rFonts w:hint="eastAsia" w:ascii="仿宋" w:hAnsi="仿宋" w:eastAsia="仿宋" w:cs="仿宋"/>
          <w:sz w:val="32"/>
          <w:szCs w:val="32"/>
        </w:rPr>
        <w:t>签发：</w:t>
      </w:r>
      <w:r>
        <w:rPr>
          <w:rFonts w:hint="eastAsia" w:ascii="仿宋" w:hAnsi="仿宋" w:eastAsia="仿宋" w:cs="仿宋"/>
          <w:sz w:val="32"/>
          <w:szCs w:val="32"/>
          <w:lang w:eastAsia="zh-CN"/>
        </w:rPr>
        <w:t>周志芳</w:t>
      </w:r>
    </w:p>
    <w:p w14:paraId="4E3A91B0">
      <w:pPr>
        <w:spacing w:line="570" w:lineRule="exact"/>
        <w:jc w:val="center"/>
        <w:rPr>
          <w:rFonts w:ascii="Times New Roman" w:eastAsia="仿宋"/>
          <w:snapToGrid w:val="0"/>
          <w:kern w:val="0"/>
          <w:sz w:val="32"/>
          <w:szCs w:val="32"/>
        </w:rPr>
      </w:pPr>
      <w:r>
        <w:rPr>
          <w:rFonts w:ascii="Times New Roman" w:eastAsia="仿宋"/>
          <w:kern w:val="0"/>
          <w:sz w:val="32"/>
          <w:szCs w:val="32"/>
        </w:rPr>
        <mc:AlternateContent>
          <mc:Choice Requires="wps">
            <w:drawing>
              <wp:anchor distT="0" distB="0" distL="114300" distR="114300" simplePos="0" relativeHeight="251659264" behindDoc="0" locked="0" layoutInCell="1" allowOverlap="1">
                <wp:simplePos x="0" y="0"/>
                <wp:positionH relativeFrom="column">
                  <wp:posOffset>19685</wp:posOffset>
                </wp:positionH>
                <wp:positionV relativeFrom="paragraph">
                  <wp:posOffset>60960</wp:posOffset>
                </wp:positionV>
                <wp:extent cx="5777230" cy="0"/>
                <wp:effectExtent l="0" t="9525" r="13970" b="13335"/>
                <wp:wrapNone/>
                <wp:docPr id="1" name="直线 4"/>
                <wp:cNvGraphicFramePr/>
                <a:graphic xmlns:a="http://schemas.openxmlformats.org/drawingml/2006/main">
                  <a:graphicData uri="http://schemas.microsoft.com/office/word/2010/wordprocessingShape">
                    <wps:wsp>
                      <wps:cNvCnPr/>
                      <wps:spPr>
                        <a:xfrm>
                          <a:off x="0" y="0"/>
                          <a:ext cx="577723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直线 4" o:spid="_x0000_s1026" o:spt="20" style="position:absolute;left:0pt;margin-left:1.55pt;margin-top:4.8pt;height:0pt;width:454.9pt;z-index:251659264;mso-width-relative:page;mso-height-relative:page;" filled="f" stroked="t" coordsize="21600,21600" o:gfxdata="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DPkfgfU&#10;AAAABQEAAA8AAAAAAAAAAQAgAAAAIgAAAGRycy9kb3ducmV2LnhtbFBLAQIUABQAAAAIAIdO4kDE&#10;BYaE6wEAANwDAAAOAAAAAAAAAAEAIAAAACMBAABkcnMvZTJvRG9jLnhtbFBLBQYAAAAABgAGAFkB&#10;AACABQAAAAA=&#10;">
                <v:fill on="f" focussize="0,0"/>
                <v:stroke weight="1.5pt" color="#FF0000" joinstyle="round"/>
                <v:imagedata o:title=""/>
                <o:lock v:ext="edit" aspectratio="f"/>
              </v:line>
            </w:pict>
          </mc:Fallback>
        </mc:AlternateContent>
      </w:r>
    </w:p>
    <w:p w14:paraId="6EAB1422">
      <w:pPr>
        <w:spacing w:line="600" w:lineRule="exact"/>
        <w:jc w:val="center"/>
        <w:rPr>
          <w:rFonts w:ascii="方正小标宋简体" w:eastAsia="方正小标宋简体"/>
          <w:kern w:val="0"/>
          <w:sz w:val="44"/>
          <w:szCs w:val="44"/>
        </w:rPr>
      </w:pPr>
      <w:r>
        <w:rPr>
          <w:rFonts w:hint="eastAsia" w:ascii="方正小标宋简体" w:eastAsia="方正小标宋简体"/>
          <w:kern w:val="0"/>
          <w:sz w:val="44"/>
          <w:szCs w:val="44"/>
        </w:rPr>
        <w:t>对市政协十</w:t>
      </w:r>
      <w:r>
        <w:rPr>
          <w:rFonts w:hint="eastAsia" w:ascii="方正小标宋简体" w:eastAsia="方正小标宋简体"/>
          <w:kern w:val="0"/>
          <w:sz w:val="44"/>
          <w:szCs w:val="44"/>
          <w:lang w:eastAsia="zh-CN"/>
        </w:rPr>
        <w:t>五</w:t>
      </w:r>
      <w:r>
        <w:rPr>
          <w:rFonts w:hint="eastAsia" w:ascii="方正小标宋简体" w:eastAsia="方正小标宋简体"/>
          <w:kern w:val="0"/>
          <w:sz w:val="44"/>
          <w:szCs w:val="44"/>
        </w:rPr>
        <w:t>届</w:t>
      </w:r>
      <w:r>
        <w:rPr>
          <w:rFonts w:hint="eastAsia" w:ascii="方正小标宋简体" w:eastAsia="方正小标宋简体"/>
          <w:kern w:val="0"/>
          <w:sz w:val="44"/>
          <w:szCs w:val="44"/>
          <w:lang w:val="en-US" w:eastAsia="zh-CN"/>
        </w:rPr>
        <w:t>四</w:t>
      </w:r>
      <w:r>
        <w:rPr>
          <w:rFonts w:hint="eastAsia" w:ascii="方正小标宋简体" w:eastAsia="方正小标宋简体"/>
          <w:kern w:val="0"/>
          <w:sz w:val="44"/>
          <w:szCs w:val="44"/>
        </w:rPr>
        <w:t>次会议</w:t>
      </w:r>
    </w:p>
    <w:p w14:paraId="69D99FBD">
      <w:pPr>
        <w:spacing w:line="600" w:lineRule="exact"/>
        <w:jc w:val="center"/>
        <w:rPr>
          <w:rFonts w:ascii="方正小标宋简体" w:eastAsia="方正小标宋简体"/>
          <w:kern w:val="0"/>
          <w:sz w:val="44"/>
          <w:szCs w:val="44"/>
        </w:rPr>
      </w:pPr>
      <w:r>
        <w:rPr>
          <w:rFonts w:hint="eastAsia" w:ascii="方正小标宋简体" w:eastAsia="方正小标宋简体"/>
          <w:kern w:val="0"/>
          <w:sz w:val="44"/>
          <w:szCs w:val="44"/>
        </w:rPr>
        <w:t>第</w:t>
      </w:r>
      <w:r>
        <w:rPr>
          <w:rFonts w:hint="eastAsia" w:ascii="方正小标宋简体" w:eastAsia="方正小标宋简体"/>
          <w:kern w:val="0"/>
          <w:sz w:val="44"/>
          <w:szCs w:val="44"/>
          <w:lang w:val="en-US" w:eastAsia="zh-CN"/>
        </w:rPr>
        <w:t>157</w:t>
      </w:r>
      <w:r>
        <w:rPr>
          <w:rFonts w:hint="eastAsia" w:ascii="方正小标宋简体" w:eastAsia="方正小标宋简体"/>
          <w:kern w:val="0"/>
          <w:sz w:val="44"/>
          <w:szCs w:val="44"/>
        </w:rPr>
        <w:t>号提案的答复</w:t>
      </w:r>
    </w:p>
    <w:p w14:paraId="584BD038">
      <w:pPr>
        <w:keepNext w:val="0"/>
        <w:keepLines w:val="0"/>
        <w:pageBreakBefore w:val="0"/>
        <w:widowControl w:val="0"/>
        <w:kinsoku/>
        <w:overflowPunct/>
        <w:topLinePunct w:val="0"/>
        <w:autoSpaceDE/>
        <w:autoSpaceDN/>
        <w:bidi w:val="0"/>
        <w:adjustRightInd/>
        <w:snapToGrid/>
        <w:spacing w:line="550" w:lineRule="exact"/>
        <w:textAlignment w:val="auto"/>
        <w:rPr>
          <w:rFonts w:ascii="仿宋" w:hAnsi="仿宋" w:eastAsia="仿宋"/>
          <w:sz w:val="32"/>
          <w:szCs w:val="32"/>
        </w:rPr>
      </w:pPr>
    </w:p>
    <w:p w14:paraId="01F776A4">
      <w:pPr>
        <w:pStyle w:val="21"/>
        <w:keepNext w:val="0"/>
        <w:keepLines w:val="0"/>
        <w:pageBreakBefore w:val="0"/>
        <w:widowControl w:val="0"/>
        <w:kinsoku/>
        <w:overflowPunct/>
        <w:topLinePunct w:val="0"/>
        <w:autoSpaceDE/>
        <w:autoSpaceDN/>
        <w:bidi w:val="0"/>
        <w:adjustRightInd/>
        <w:snapToGrid/>
        <w:spacing w:line="550" w:lineRule="exact"/>
        <w:textAlignment w:val="auto"/>
        <w:rPr>
          <w:rFonts w:hint="eastAsia"/>
        </w:rPr>
      </w:pPr>
      <w:r>
        <w:rPr>
          <w:rFonts w:hint="eastAsia"/>
          <w:lang w:val="en-US" w:eastAsia="zh-CN"/>
        </w:rPr>
        <w:t>田利</w:t>
      </w:r>
      <w:r>
        <w:rPr>
          <w:rFonts w:hint="default"/>
          <w:lang w:val="en-US"/>
        </w:rPr>
        <w:t>委员</w:t>
      </w:r>
      <w:r>
        <w:rPr>
          <w:rFonts w:hint="eastAsia"/>
        </w:rPr>
        <w:t>：</w:t>
      </w:r>
    </w:p>
    <w:p w14:paraId="1D225CE7">
      <w:pPr>
        <w:pStyle w:val="15"/>
        <w:keepNext w:val="0"/>
        <w:keepLines w:val="0"/>
        <w:pageBreakBefore w:val="0"/>
        <w:widowControl w:val="0"/>
        <w:kinsoku/>
        <w:overflowPunct/>
        <w:topLinePunct w:val="0"/>
        <w:autoSpaceDE/>
        <w:autoSpaceDN/>
        <w:bidi w:val="0"/>
        <w:adjustRightInd/>
        <w:snapToGrid/>
        <w:spacing w:line="550" w:lineRule="exact"/>
        <w:textAlignment w:val="auto"/>
        <w:rPr>
          <w:rFonts w:hint="eastAsia"/>
        </w:rPr>
      </w:pPr>
      <w:r>
        <w:rPr>
          <w:rFonts w:hint="eastAsia"/>
          <w:lang w:eastAsia="zh-CN"/>
        </w:rPr>
        <w:t>您</w:t>
      </w:r>
      <w:r>
        <w:rPr>
          <w:rFonts w:hint="eastAsia"/>
        </w:rPr>
        <w:t>提出的《</w:t>
      </w:r>
      <w:r>
        <w:rPr>
          <w:rFonts w:hint="eastAsia"/>
          <w:lang w:eastAsia="zh-CN"/>
        </w:rPr>
        <w:t>关于提升中小学现场急救能力，完善</w:t>
      </w:r>
      <w:r>
        <w:rPr>
          <w:rFonts w:hint="eastAsia"/>
          <w:lang w:val="en-US" w:eastAsia="zh-CN"/>
        </w:rPr>
        <w:t>AED配备的建议</w:t>
      </w:r>
      <w:r>
        <w:rPr>
          <w:rFonts w:hint="eastAsia"/>
        </w:rPr>
        <w:t>》的</w:t>
      </w:r>
      <w:r>
        <w:rPr>
          <w:rFonts w:hint="eastAsia"/>
          <w:lang w:eastAsia="zh-CN"/>
        </w:rPr>
        <w:t>提案</w:t>
      </w:r>
      <w:r>
        <w:rPr>
          <w:rFonts w:hint="eastAsia"/>
        </w:rPr>
        <w:t>收悉。现答复如下：</w:t>
      </w:r>
    </w:p>
    <w:p w14:paraId="4E9B612D">
      <w:pPr>
        <w:pStyle w:val="15"/>
        <w:keepNext w:val="0"/>
        <w:keepLines w:val="0"/>
        <w:pageBreakBefore w:val="0"/>
        <w:widowControl w:val="0"/>
        <w:kinsoku/>
        <w:overflowPunct/>
        <w:topLinePunct w:val="0"/>
        <w:autoSpaceDE/>
        <w:autoSpaceDN/>
        <w:bidi w:val="0"/>
        <w:adjustRightInd/>
        <w:snapToGrid/>
        <w:spacing w:line="550" w:lineRule="exact"/>
        <w:textAlignment w:val="auto"/>
        <w:rPr>
          <w:rFonts w:hint="eastAsia"/>
          <w:lang w:eastAsia="zh-CN"/>
        </w:rPr>
      </w:pPr>
      <w:r>
        <w:rPr>
          <w:rFonts w:hint="eastAsia"/>
        </w:rPr>
        <w:t>校园安全是教育工作的底线，现场急救能力建设是守护师生生命健康的重要防线。</w:t>
      </w:r>
      <w:r>
        <w:rPr>
          <w:rFonts w:hint="eastAsia"/>
          <w:lang w:eastAsia="zh-CN"/>
        </w:rPr>
        <w:t>苏州市教育局</w:t>
      </w:r>
      <w:r>
        <w:rPr>
          <w:rFonts w:hint="eastAsia"/>
        </w:rPr>
        <w:t>深入贯彻</w:t>
      </w:r>
      <w:r>
        <w:rPr>
          <w:rFonts w:hint="eastAsia"/>
          <w:lang w:eastAsia="zh-CN"/>
        </w:rPr>
        <w:t>落实</w:t>
      </w:r>
      <w:r>
        <w:rPr>
          <w:rFonts w:hint="eastAsia"/>
        </w:rPr>
        <w:t>“健康中国”战略</w:t>
      </w:r>
      <w:r>
        <w:rPr>
          <w:rFonts w:hint="eastAsia"/>
          <w:lang w:eastAsia="zh-CN"/>
        </w:rPr>
        <w:t>目标</w:t>
      </w:r>
      <w:r>
        <w:rPr>
          <w:rFonts w:hint="eastAsia"/>
        </w:rPr>
        <w:t>，将急救教育作为平安校园建设的核心内容，坚持“预防为主、防治结合、系统推进”原则，着力构建“制度健全、培训到位、设备完备、响应迅速”的校园急救体系，全力筑牢生命安全防护网。</w:t>
      </w:r>
    </w:p>
    <w:p w14:paraId="25BD1DCC">
      <w:pPr>
        <w:pStyle w:val="19"/>
        <w:keepNext w:val="0"/>
        <w:keepLines w:val="0"/>
        <w:pageBreakBefore w:val="0"/>
        <w:widowControl w:val="0"/>
        <w:kinsoku/>
        <w:overflowPunct/>
        <w:topLinePunct w:val="0"/>
        <w:autoSpaceDE/>
        <w:autoSpaceDN/>
        <w:bidi w:val="0"/>
        <w:adjustRightInd/>
        <w:snapToGrid/>
        <w:spacing w:line="550" w:lineRule="exact"/>
        <w:textAlignment w:val="auto"/>
        <w:rPr>
          <w:rFonts w:hint="eastAsia"/>
        </w:rPr>
      </w:pPr>
      <w:r>
        <w:rPr>
          <w:rFonts w:hint="eastAsia"/>
        </w:rPr>
        <w:t>一、</w:t>
      </w:r>
      <w:r>
        <w:rPr>
          <w:rFonts w:hint="eastAsia"/>
          <w:lang w:eastAsia="zh-CN"/>
        </w:rPr>
        <w:t>夯基固本</w:t>
      </w:r>
      <w:r>
        <w:rPr>
          <w:rFonts w:hint="eastAsia"/>
        </w:rPr>
        <w:t>，筑牢急救教育“四梁八柱”</w:t>
      </w:r>
    </w:p>
    <w:p w14:paraId="1A23AC52">
      <w:pPr>
        <w:pStyle w:val="15"/>
        <w:keepNext w:val="0"/>
        <w:keepLines w:val="0"/>
        <w:pageBreakBefore w:val="0"/>
        <w:widowControl w:val="0"/>
        <w:kinsoku/>
        <w:overflowPunct/>
        <w:topLinePunct w:val="0"/>
        <w:autoSpaceDE/>
        <w:autoSpaceDN/>
        <w:bidi w:val="0"/>
        <w:adjustRightInd/>
        <w:snapToGrid/>
        <w:spacing w:line="550" w:lineRule="exact"/>
        <w:textAlignment w:val="auto"/>
        <w:rPr>
          <w:rFonts w:hint="eastAsia"/>
        </w:rPr>
      </w:pPr>
      <w:r>
        <w:rPr>
          <w:rFonts w:hint="eastAsia"/>
          <w:lang w:eastAsia="zh-CN"/>
        </w:rPr>
        <w:t>苏州市教育局</w:t>
      </w:r>
      <w:r>
        <w:rPr>
          <w:rFonts w:hint="eastAsia"/>
        </w:rPr>
        <w:t>协同卫</w:t>
      </w:r>
      <w:r>
        <w:rPr>
          <w:rFonts w:hint="eastAsia"/>
          <w:lang w:eastAsia="zh-CN"/>
        </w:rPr>
        <w:t>健</w:t>
      </w:r>
      <w:r>
        <w:rPr>
          <w:rFonts w:hint="eastAsia"/>
        </w:rPr>
        <w:t>部门，通过各级各类安全教育活动开展急救知识普及，根据不同季节不同主题开展校医、学校保健教师专业知识和技能培训。在中小学教育领域，实现100%校医每年接受卫生培训，内容涵盖急救技能培训，为校园急救教育筑牢师资根基。同时，</w:t>
      </w:r>
      <w:r>
        <w:rPr>
          <w:rFonts w:hint="eastAsia"/>
          <w:lang w:eastAsia="zh-CN"/>
        </w:rPr>
        <w:t>市教育</w:t>
      </w:r>
      <w:r>
        <w:rPr>
          <w:rFonts w:hint="eastAsia"/>
        </w:rPr>
        <w:t>局突破高等教育业务管理职能限制，在省内创新建立苏州高职高专院校联席会议机制，下设教学、学工、后勤和产教联盟。其中后勤联盟由苏州卫生职业技术学院担任主任单位，每年市教育局给予</w:t>
      </w:r>
      <w:r>
        <w:rPr>
          <w:rFonts w:hint="eastAsia"/>
          <w:lang w:eastAsia="zh-CN"/>
        </w:rPr>
        <w:t>专项</w:t>
      </w:r>
      <w:r>
        <w:rPr>
          <w:rFonts w:hint="eastAsia"/>
        </w:rPr>
        <w:t>经费支持，开展校医急救知识竞赛等品牌活动，其中院校校医的急救知识竞赛成为每年的传统项目。并联合三级医院举办专题讲座、技能比赛，形成“高校平台+医教协同”的特色模式。</w:t>
      </w:r>
    </w:p>
    <w:p w14:paraId="1361DAB0">
      <w:pPr>
        <w:pStyle w:val="19"/>
        <w:keepNext w:val="0"/>
        <w:keepLines w:val="0"/>
        <w:pageBreakBefore w:val="0"/>
        <w:widowControl w:val="0"/>
        <w:kinsoku/>
        <w:overflowPunct/>
        <w:topLinePunct w:val="0"/>
        <w:autoSpaceDE/>
        <w:autoSpaceDN/>
        <w:bidi w:val="0"/>
        <w:adjustRightInd/>
        <w:snapToGrid/>
        <w:spacing w:line="550" w:lineRule="exact"/>
        <w:textAlignment w:val="auto"/>
        <w:rPr>
          <w:rFonts w:hint="eastAsia"/>
        </w:rPr>
      </w:pPr>
      <w:r>
        <w:rPr>
          <w:rFonts w:hint="eastAsia"/>
        </w:rPr>
        <w:t>二、精准施策，深化急救教育“三维改革”</w:t>
      </w:r>
    </w:p>
    <w:p w14:paraId="5484199A">
      <w:pPr>
        <w:pStyle w:val="15"/>
        <w:keepNext w:val="0"/>
        <w:keepLines w:val="0"/>
        <w:pageBreakBefore w:val="0"/>
        <w:widowControl w:val="0"/>
        <w:kinsoku/>
        <w:overflowPunct/>
        <w:topLinePunct w:val="0"/>
        <w:autoSpaceDE/>
        <w:autoSpaceDN/>
        <w:bidi w:val="0"/>
        <w:adjustRightInd/>
        <w:snapToGrid/>
        <w:spacing w:line="550" w:lineRule="exact"/>
        <w:textAlignment w:val="auto"/>
        <w:rPr>
          <w:rFonts w:hint="eastAsia"/>
        </w:rPr>
      </w:pPr>
      <w:r>
        <w:rPr>
          <w:rFonts w:hint="eastAsia"/>
          <w:lang w:eastAsia="zh-CN"/>
        </w:rPr>
        <w:t>聚焦</w:t>
      </w:r>
      <w:r>
        <w:rPr>
          <w:rFonts w:hint="eastAsia"/>
        </w:rPr>
        <w:t>中</w:t>
      </w:r>
      <w:r>
        <w:rPr>
          <w:rFonts w:hint="eastAsia"/>
          <w:lang w:eastAsia="zh-CN"/>
        </w:rPr>
        <w:t>小</w:t>
      </w:r>
      <w:r>
        <w:rPr>
          <w:rFonts w:hint="eastAsia"/>
        </w:rPr>
        <w:t>学急救教育</w:t>
      </w:r>
      <w:r>
        <w:rPr>
          <w:rFonts w:hint="eastAsia"/>
          <w:lang w:eastAsia="zh-CN"/>
        </w:rPr>
        <w:t>难点痛点</w:t>
      </w:r>
      <w:r>
        <w:rPr>
          <w:rFonts w:hint="eastAsia"/>
        </w:rPr>
        <w:t>，我们从“课程、师资、实践”三维度精准施策：一是课程体系系统化，推动</w:t>
      </w:r>
      <w:r>
        <w:rPr>
          <w:rFonts w:hint="eastAsia"/>
          <w:lang w:eastAsia="zh-CN"/>
        </w:rPr>
        <w:t>急救教育</w:t>
      </w:r>
      <w:r>
        <w:rPr>
          <w:rFonts w:hint="eastAsia"/>
        </w:rPr>
        <w:t>纳入</w:t>
      </w:r>
      <w:r>
        <w:rPr>
          <w:rFonts w:hint="eastAsia"/>
          <w:lang w:eastAsia="zh-CN"/>
        </w:rPr>
        <w:t>学校素质教育的核心内容</w:t>
      </w:r>
      <w:r>
        <w:rPr>
          <w:rFonts w:hint="eastAsia"/>
        </w:rPr>
        <w:t>，</w:t>
      </w:r>
      <w:r>
        <w:rPr>
          <w:rFonts w:hint="eastAsia"/>
          <w:lang w:eastAsia="zh-CN"/>
        </w:rPr>
        <w:t>确保学生在各个学习阶段都能获得相应的急救知识和技能，融入教育教学全流程。按照教育部有关要求，目前中小学道德与法治、体育与健康、生物学、地理、化学等学科均融入了急救知识相关内容。例如：小学科学课程要求学生学习触电、溺水、异物堵塞气管、蛇虫咬伤等急救的基本知识和基本方法。道德与法治课程要求学生“知道在紧急情况下的逃生或救助办法”。初中生物学课程要求学生“模拟练习人工呼吸或止血包扎”等，高中生物学课程专门开设了“急救措施”模块，其内容包括紧急情况下公民必备的最基本的医疗急救措施知识与技能，如常用急救药物的使用、“120”紧急呼叫、心肺复苏、外伤止血、游泳意外的自救、动物咬伤后的处理、煤气中毒后的自救与互救等方面的内容。普通高中体育与健康课程要求学生“掌握并运用安全运动、预防常见运动伤病和突发事故、消除运动疲劳的知识与方法，如心肺复苏、溺水救护等知识与技能”“掌握并运用安全避险的知识与方法，如拥挤、暴恐事件等紧急情况下的避险和急救常识”。苏州市第五中学联合苏州市护理学会共同编写《第一目击者——青少年校园现场急救》，探索开发急救教学校本教材</w:t>
      </w:r>
      <w:r>
        <w:rPr>
          <w:rFonts w:hint="eastAsia"/>
        </w:rPr>
        <w:t>，确保“学有课时、考有标准”；二是师资队伍专业化，实施</w:t>
      </w:r>
      <w:r>
        <w:rPr>
          <w:rFonts w:hint="eastAsia"/>
          <w:lang w:eastAsia="zh-CN"/>
        </w:rPr>
        <w:t>重点人群</w:t>
      </w:r>
      <w:r>
        <w:rPr>
          <w:rFonts w:hint="eastAsia"/>
        </w:rPr>
        <w:t>急救知识全员培训计划</w:t>
      </w:r>
      <w:r>
        <w:rPr>
          <w:rFonts w:hint="eastAsia"/>
          <w:lang w:eastAsia="zh-CN"/>
        </w:rPr>
        <w:t>，自</w:t>
      </w:r>
      <w:r>
        <w:rPr>
          <w:rFonts w:hint="eastAsia"/>
          <w:lang w:val="en-US" w:eastAsia="zh-CN"/>
        </w:rPr>
        <w:t>2018年起，我局联合市急救中心常态化开展“</w:t>
      </w:r>
      <w:r>
        <w:rPr>
          <w:rFonts w:hint="eastAsia"/>
        </w:rPr>
        <w:t>急救技能进校园活动</w:t>
      </w:r>
      <w:r>
        <w:rPr>
          <w:rFonts w:hint="eastAsia"/>
          <w:lang w:val="en-US" w:eastAsia="zh-CN"/>
        </w:rPr>
        <w:t>”</w:t>
      </w:r>
      <w:r>
        <w:rPr>
          <w:rFonts w:hint="eastAsia"/>
          <w:lang w:eastAsia="zh-CN"/>
        </w:rPr>
        <w:t>。</w:t>
      </w:r>
      <w:r>
        <w:rPr>
          <w:rFonts w:hint="eastAsia"/>
          <w:lang w:val="en-US" w:eastAsia="zh-CN"/>
        </w:rPr>
        <w:t>2022年6月，苏州市沧浪中学校校医对一名心脏骤停学生施行心肺复苏，成功施救，展现了扎实的急救技能水平。</w:t>
      </w:r>
      <w:r>
        <w:rPr>
          <w:rFonts w:hint="eastAsia"/>
          <w:lang w:eastAsia="zh-CN"/>
        </w:rPr>
        <w:t>苏州卫生职业技术学院、苏州市第五中学校、张家港市塘桥初级中学、常熟市义庄小学等四所学校入选教育部第二批</w:t>
      </w:r>
      <w:r>
        <w:rPr>
          <w:rFonts w:hint="eastAsia"/>
          <w:lang w:val="en-US" w:eastAsia="zh-CN"/>
        </w:rPr>
        <w:t>1000所全国急救教育试点学校。2023年11月苏州市第五中学斩获江苏省首届中小学急救教育展示活动团体一等奖。2024年8月，市教育局组建教育系统急救教育骨干教师参赛队，依托五中为培训基地，经过为期1个月的集中封闭式培训，一举获得2024年苏州市红十字应急救护职业技能竞赛团体一等奖，以赛促学、以赛促教，</w:t>
      </w:r>
      <w:r>
        <w:rPr>
          <w:rFonts w:hint="eastAsia"/>
        </w:rPr>
        <w:t>激发教师能动性；三是实践场景多元化，</w:t>
      </w:r>
      <w:r>
        <w:rPr>
          <w:rFonts w:hint="eastAsia"/>
          <w:lang w:val="en-US" w:eastAsia="zh-CN"/>
        </w:rPr>
        <w:t>2024年苏州市教育局组织各地各校购买</w:t>
      </w:r>
      <w:r>
        <w:rPr>
          <w:rFonts w:hint="eastAsia"/>
        </w:rPr>
        <w:t>AED 设备</w:t>
      </w:r>
      <w:r>
        <w:rPr>
          <w:rFonts w:hint="eastAsia"/>
          <w:lang w:eastAsia="zh-CN"/>
        </w:rPr>
        <w:t>，</w:t>
      </w:r>
      <w:r>
        <w:rPr>
          <w:rFonts w:hint="default"/>
          <w:lang w:val="en-US" w:eastAsia="zh-CN"/>
        </w:rPr>
        <w:t>共计814台，</w:t>
      </w:r>
      <w:r>
        <w:rPr>
          <w:rFonts w:hint="eastAsia"/>
          <w:lang w:val="en-US" w:eastAsia="zh-CN"/>
        </w:rPr>
        <w:t>进一步</w:t>
      </w:r>
      <w:r>
        <w:rPr>
          <w:rFonts w:hint="eastAsia"/>
        </w:rPr>
        <w:t>配足AED设备等</w:t>
      </w:r>
      <w:r>
        <w:rPr>
          <w:rFonts w:hint="eastAsia"/>
          <w:lang w:eastAsia="zh-CN"/>
        </w:rPr>
        <w:t>应急救护</w:t>
      </w:r>
      <w:r>
        <w:rPr>
          <w:rFonts w:hint="eastAsia"/>
        </w:rPr>
        <w:t>教学设施，联动</w:t>
      </w:r>
      <w:r>
        <w:rPr>
          <w:rFonts w:hint="eastAsia"/>
          <w:lang w:eastAsia="zh-CN"/>
        </w:rPr>
        <w:t>高校</w:t>
      </w:r>
      <w:r>
        <w:rPr>
          <w:rFonts w:hint="eastAsia"/>
        </w:rPr>
        <w:t>共建实训基地，通过课堂实操</w:t>
      </w:r>
      <w:r>
        <w:rPr>
          <w:rFonts w:hint="eastAsia"/>
          <w:lang w:eastAsia="zh-CN"/>
        </w:rPr>
        <w:t>、</w:t>
      </w:r>
      <w:r>
        <w:rPr>
          <w:rFonts w:hint="eastAsia"/>
        </w:rPr>
        <w:t>竞赛演练</w:t>
      </w:r>
      <w:r>
        <w:rPr>
          <w:rFonts w:hint="eastAsia"/>
          <w:lang w:eastAsia="zh-CN"/>
        </w:rPr>
        <w:t>、应急实战等多种</w:t>
      </w:r>
      <w:r>
        <w:rPr>
          <w:rFonts w:hint="eastAsia"/>
        </w:rPr>
        <w:t>模式，提升学生应急</w:t>
      </w:r>
      <w:r>
        <w:rPr>
          <w:rFonts w:hint="eastAsia"/>
          <w:lang w:eastAsia="zh-CN"/>
        </w:rPr>
        <w:t>处置</w:t>
      </w:r>
      <w:r>
        <w:rPr>
          <w:rFonts w:hint="eastAsia"/>
        </w:rPr>
        <w:t>能力。</w:t>
      </w:r>
    </w:p>
    <w:p w14:paraId="7011A7C8">
      <w:pPr>
        <w:pStyle w:val="19"/>
        <w:keepNext w:val="0"/>
        <w:keepLines w:val="0"/>
        <w:pageBreakBefore w:val="0"/>
        <w:widowControl w:val="0"/>
        <w:kinsoku/>
        <w:overflowPunct/>
        <w:topLinePunct w:val="0"/>
        <w:autoSpaceDE/>
        <w:autoSpaceDN/>
        <w:bidi w:val="0"/>
        <w:adjustRightInd/>
        <w:snapToGrid/>
        <w:spacing w:line="550" w:lineRule="exact"/>
        <w:textAlignment w:val="auto"/>
        <w:rPr>
          <w:rFonts w:hint="eastAsia"/>
        </w:rPr>
      </w:pPr>
      <w:r>
        <w:rPr>
          <w:rFonts w:hint="eastAsia"/>
        </w:rPr>
        <w:t>三、协同联动，拓展急救教育“多元格局”</w:t>
      </w:r>
    </w:p>
    <w:p w14:paraId="729074AC">
      <w:pPr>
        <w:pStyle w:val="15"/>
        <w:keepNext w:val="0"/>
        <w:keepLines w:val="0"/>
        <w:pageBreakBefore w:val="0"/>
        <w:widowControl w:val="0"/>
        <w:kinsoku/>
        <w:overflowPunct/>
        <w:topLinePunct w:val="0"/>
        <w:autoSpaceDE/>
        <w:autoSpaceDN/>
        <w:bidi w:val="0"/>
        <w:adjustRightInd/>
        <w:snapToGrid/>
        <w:spacing w:line="550" w:lineRule="exact"/>
        <w:textAlignment w:val="auto"/>
        <w:rPr>
          <w:rFonts w:hint="eastAsia"/>
          <w:lang w:val="en-US" w:eastAsia="zh-CN"/>
        </w:rPr>
      </w:pPr>
      <w:r>
        <w:rPr>
          <w:rFonts w:hint="eastAsia"/>
          <w:lang w:val="en-US" w:eastAsia="zh-CN"/>
        </w:rPr>
        <w:t>全学段梯度推进：在小学阶段，重点开展安全教育和应急避险知识科普宣教，树立敬畏生命、关爱他人理念；在中学阶段，强化学生掌握基本应急救护知识技能，培养自救互救和自我保护能力，将应急救护知识技能纳入学生军训，切实提高应急救护知识与技能普及率。多领域辐射带动：2024年11月苏州市教育局召开苏州市中小学急救教育推进会，建立“教育主导、卫健指导、高校支撑、社区参与”联动机制，成立了苏州市中小学急救教育培训基地，通过基地建设，整合多方资源，充分发挥试点校的示范引领作用，在努力建设为我市急救教育标杆的同时，辐射带动周边学校和社区，形成全社会共同参与的良好局面。</w:t>
      </w:r>
    </w:p>
    <w:p w14:paraId="2CF1039F">
      <w:pPr>
        <w:pStyle w:val="15"/>
        <w:keepNext w:val="0"/>
        <w:keepLines w:val="0"/>
        <w:pageBreakBefore w:val="0"/>
        <w:widowControl w:val="0"/>
        <w:kinsoku/>
        <w:overflowPunct/>
        <w:topLinePunct w:val="0"/>
        <w:autoSpaceDE/>
        <w:autoSpaceDN/>
        <w:bidi w:val="0"/>
        <w:adjustRightInd/>
        <w:snapToGrid/>
        <w:spacing w:line="550" w:lineRule="exact"/>
        <w:textAlignment w:val="auto"/>
        <w:rPr>
          <w:rFonts w:hint="eastAsia"/>
        </w:rPr>
      </w:pPr>
      <w:r>
        <w:rPr>
          <w:rFonts w:hint="eastAsia"/>
        </w:rPr>
        <w:t>下一步，我局将深化跨部门协同，</w:t>
      </w:r>
      <w:r>
        <w:rPr>
          <w:rFonts w:hint="eastAsia"/>
          <w:lang w:eastAsia="zh-CN"/>
        </w:rPr>
        <w:t>进一步</w:t>
      </w:r>
      <w:r>
        <w:rPr>
          <w:rFonts w:hint="eastAsia"/>
        </w:rPr>
        <w:t>推动急救培训向本科院校延伸，构建“高职引领—本科协同”的全学段教育链</w:t>
      </w:r>
      <w:r>
        <w:rPr>
          <w:rFonts w:hint="eastAsia"/>
          <w:lang w:eastAsia="zh-CN"/>
        </w:rPr>
        <w:t>。</w:t>
      </w:r>
      <w:r>
        <w:rPr>
          <w:rFonts w:hint="eastAsia"/>
        </w:rPr>
        <w:t>联合市卫健委</w:t>
      </w:r>
      <w:r>
        <w:rPr>
          <w:rFonts w:hint="eastAsia"/>
          <w:lang w:eastAsia="zh-CN"/>
        </w:rPr>
        <w:t>、红十字会</w:t>
      </w:r>
      <w:r>
        <w:rPr>
          <w:rFonts w:hint="eastAsia"/>
        </w:rPr>
        <w:t>等单位，壮大急救志愿服务队伍</w:t>
      </w:r>
      <w:r>
        <w:rPr>
          <w:rFonts w:hint="default"/>
          <w:lang w:val="en-US"/>
        </w:rPr>
        <w:t>。</w:t>
      </w:r>
      <w:r>
        <w:rPr>
          <w:rFonts w:hint="eastAsia"/>
        </w:rPr>
        <w:t>同时，</w:t>
      </w:r>
      <w:r>
        <w:rPr>
          <w:rFonts w:hint="eastAsia"/>
          <w:lang w:eastAsia="zh-CN"/>
        </w:rPr>
        <w:t>进一步完善</w:t>
      </w:r>
      <w:r>
        <w:rPr>
          <w:rFonts w:hint="eastAsia"/>
          <w:lang w:val="en-US" w:eastAsia="zh-CN"/>
        </w:rPr>
        <w:t>AED设备</w:t>
      </w:r>
      <w:r>
        <w:rPr>
          <w:rFonts w:hint="default"/>
          <w:lang w:val="en-US" w:eastAsia="zh-CN"/>
        </w:rPr>
        <w:t>的配备，</w:t>
      </w:r>
      <w:r>
        <w:rPr>
          <w:rFonts w:hint="eastAsia"/>
        </w:rPr>
        <w:t>扩大急救技能</w:t>
      </w:r>
      <w:r>
        <w:rPr>
          <w:rFonts w:hint="default"/>
          <w:lang w:val="en-US"/>
        </w:rPr>
        <w:t>培训</w:t>
      </w:r>
      <w:r>
        <w:rPr>
          <w:rFonts w:hint="eastAsia"/>
        </w:rPr>
        <w:t>覆盖面。</w:t>
      </w:r>
      <w:r>
        <w:rPr>
          <w:rFonts w:hint="eastAsia"/>
          <w:lang w:eastAsia="zh-CN"/>
        </w:rPr>
        <w:t>苏州市教育局将</w:t>
      </w:r>
      <w:r>
        <w:rPr>
          <w:rFonts w:hint="eastAsia"/>
        </w:rPr>
        <w:t>始终把师生生命安全放在首位，以系统思维、创新举措、务实作风，全力打造全国领先的中小学急救教育“苏州样板”。</w:t>
      </w:r>
    </w:p>
    <w:p w14:paraId="7931F137">
      <w:pPr>
        <w:pStyle w:val="15"/>
        <w:keepNext w:val="0"/>
        <w:keepLines w:val="0"/>
        <w:pageBreakBefore w:val="0"/>
        <w:widowControl w:val="0"/>
        <w:kinsoku/>
        <w:overflowPunct/>
        <w:topLinePunct w:val="0"/>
        <w:autoSpaceDE/>
        <w:autoSpaceDN/>
        <w:bidi w:val="0"/>
        <w:adjustRightInd/>
        <w:snapToGrid/>
        <w:spacing w:line="550" w:lineRule="exact"/>
        <w:textAlignment w:val="auto"/>
      </w:pPr>
      <w:bookmarkStart w:id="0" w:name="_GoBack"/>
      <w:bookmarkEnd w:id="0"/>
    </w:p>
    <w:p w14:paraId="77507575">
      <w:pPr>
        <w:keepNext w:val="0"/>
        <w:keepLines w:val="0"/>
        <w:pageBreakBefore w:val="0"/>
        <w:widowControl w:val="0"/>
        <w:kinsoku/>
        <w:overflowPunct/>
        <w:topLinePunct w:val="0"/>
        <w:autoSpaceDE/>
        <w:autoSpaceDN/>
        <w:bidi w:val="0"/>
        <w:adjustRightInd/>
        <w:snapToGrid/>
        <w:spacing w:line="550" w:lineRule="exact"/>
        <w:ind w:firstLine="640" w:firstLineChars="200"/>
        <w:textAlignment w:val="auto"/>
        <w:rPr>
          <w:rFonts w:ascii="仿宋" w:hAnsi="仿宋" w:eastAsia="仿宋"/>
          <w:sz w:val="32"/>
          <w:szCs w:val="32"/>
        </w:rPr>
      </w:pPr>
    </w:p>
    <w:p w14:paraId="387D7692">
      <w:pPr>
        <w:keepNext w:val="0"/>
        <w:keepLines w:val="0"/>
        <w:pageBreakBefore w:val="0"/>
        <w:widowControl w:val="0"/>
        <w:kinsoku/>
        <w:wordWrap w:val="0"/>
        <w:overflowPunct/>
        <w:topLinePunct w:val="0"/>
        <w:autoSpaceDE/>
        <w:autoSpaceDN/>
        <w:bidi w:val="0"/>
        <w:adjustRightInd/>
        <w:snapToGrid/>
        <w:spacing w:line="550" w:lineRule="exact"/>
        <w:ind w:right="1260" w:rightChars="600"/>
        <w:jc w:val="right"/>
        <w:textAlignment w:val="auto"/>
        <w:rPr>
          <w:rFonts w:ascii="仿宋" w:hAnsi="仿宋" w:eastAsia="仿宋"/>
          <w:sz w:val="32"/>
          <w:szCs w:val="32"/>
        </w:rPr>
      </w:pPr>
      <w:r>
        <w:rPr>
          <w:rFonts w:ascii="仿宋" w:hAnsi="仿宋" w:eastAsia="仿宋"/>
          <w:sz w:val="32"/>
          <w:szCs w:val="32"/>
        </w:rPr>
        <w:t>苏州市教育局</w:t>
      </w:r>
    </w:p>
    <w:p w14:paraId="3BDC8D95">
      <w:pPr>
        <w:keepNext w:val="0"/>
        <w:keepLines w:val="0"/>
        <w:pageBreakBefore w:val="0"/>
        <w:widowControl w:val="0"/>
        <w:kinsoku/>
        <w:overflowPunct/>
        <w:topLinePunct w:val="0"/>
        <w:autoSpaceDE/>
        <w:autoSpaceDN/>
        <w:bidi w:val="0"/>
        <w:adjustRightInd/>
        <w:snapToGrid/>
        <w:spacing w:line="550" w:lineRule="exact"/>
        <w:ind w:right="840" w:rightChars="400"/>
        <w:jc w:val="right"/>
        <w:textAlignment w:val="auto"/>
        <w:rPr>
          <w:rFonts w:ascii="仿宋" w:hAnsi="仿宋" w:eastAsia="仿宋"/>
          <w:sz w:val="32"/>
          <w:szCs w:val="32"/>
        </w:rPr>
      </w:pPr>
      <w:r>
        <w:rPr>
          <w:rFonts w:hint="eastAsia" w:ascii="仿宋" w:hAnsi="仿宋" w:eastAsia="仿宋"/>
          <w:sz w:val="32"/>
          <w:szCs w:val="32"/>
          <w:lang w:eastAsia="zh-CN"/>
        </w:rPr>
        <w:t>2025</w:t>
      </w:r>
      <w:r>
        <w:rPr>
          <w:rFonts w:ascii="仿宋" w:hAnsi="仿宋" w:eastAsia="仿宋"/>
          <w:sz w:val="32"/>
          <w:szCs w:val="32"/>
        </w:rPr>
        <w:t>年</w:t>
      </w:r>
      <w:r>
        <w:rPr>
          <w:rFonts w:hint="eastAsia" w:ascii="仿宋" w:hAnsi="仿宋" w:eastAsia="仿宋"/>
          <w:sz w:val="32"/>
          <w:szCs w:val="32"/>
          <w:lang w:val="en-US" w:eastAsia="zh-CN"/>
        </w:rPr>
        <w:t>6</w:t>
      </w:r>
      <w:r>
        <w:rPr>
          <w:rFonts w:ascii="仿宋" w:hAnsi="仿宋" w:eastAsia="仿宋"/>
          <w:sz w:val="32"/>
          <w:szCs w:val="32"/>
        </w:rPr>
        <w:t>月</w:t>
      </w:r>
      <w:r>
        <w:rPr>
          <w:rFonts w:hint="eastAsia" w:ascii="仿宋" w:hAnsi="仿宋" w:eastAsia="仿宋"/>
          <w:sz w:val="32"/>
          <w:szCs w:val="32"/>
          <w:lang w:val="en-US" w:eastAsia="zh-CN"/>
        </w:rPr>
        <w:t>12</w:t>
      </w:r>
      <w:r>
        <w:rPr>
          <w:rFonts w:ascii="仿宋" w:hAnsi="仿宋" w:eastAsia="仿宋"/>
          <w:sz w:val="32"/>
          <w:szCs w:val="32"/>
        </w:rPr>
        <w:t>日</w:t>
      </w:r>
    </w:p>
    <w:p w14:paraId="33563EE0">
      <w:pPr>
        <w:keepNext w:val="0"/>
        <w:keepLines w:val="0"/>
        <w:pageBreakBefore w:val="0"/>
        <w:widowControl w:val="0"/>
        <w:kinsoku/>
        <w:overflowPunct/>
        <w:topLinePunct w:val="0"/>
        <w:autoSpaceDE/>
        <w:autoSpaceDN/>
        <w:bidi w:val="0"/>
        <w:adjustRightInd/>
        <w:snapToGrid/>
        <w:spacing w:line="550" w:lineRule="exact"/>
        <w:textAlignment w:val="auto"/>
        <w:rPr>
          <w:rFonts w:ascii="仿宋" w:hAnsi="仿宋" w:eastAsia="仿宋"/>
          <w:sz w:val="32"/>
          <w:szCs w:val="32"/>
        </w:rPr>
      </w:pPr>
    </w:p>
    <w:p w14:paraId="14757079">
      <w:pPr>
        <w:pStyle w:val="15"/>
        <w:keepNext w:val="0"/>
        <w:keepLines w:val="0"/>
        <w:pageBreakBefore w:val="0"/>
        <w:widowControl w:val="0"/>
        <w:kinsoku/>
        <w:wordWrap/>
        <w:overflowPunct/>
        <w:topLinePunct w:val="0"/>
        <w:autoSpaceDE/>
        <w:autoSpaceDN/>
        <w:bidi w:val="0"/>
        <w:adjustRightInd/>
        <w:snapToGrid/>
        <w:spacing w:line="550" w:lineRule="exact"/>
        <w:ind w:firstLine="0" w:firstLineChars="0"/>
        <w:textAlignment w:val="auto"/>
        <w:rPr>
          <w:rFonts w:hint="eastAsia" w:eastAsia="仿宋"/>
          <w:lang w:eastAsia="zh-CN"/>
        </w:rPr>
      </w:pPr>
      <w:r>
        <w:rPr>
          <w:rFonts w:hint="eastAsia"/>
        </w:rPr>
        <w:t>联系人姓名：</w:t>
      </w:r>
      <w:r>
        <w:rPr>
          <w:rFonts w:hint="eastAsia"/>
          <w:lang w:eastAsia="zh-CN"/>
        </w:rPr>
        <w:t>王双全</w:t>
      </w:r>
    </w:p>
    <w:p w14:paraId="4F61252F">
      <w:pPr>
        <w:pStyle w:val="15"/>
        <w:keepNext w:val="0"/>
        <w:keepLines w:val="0"/>
        <w:pageBreakBefore w:val="0"/>
        <w:widowControl w:val="0"/>
        <w:kinsoku/>
        <w:wordWrap/>
        <w:overflowPunct/>
        <w:topLinePunct w:val="0"/>
        <w:autoSpaceDE/>
        <w:autoSpaceDN/>
        <w:bidi w:val="0"/>
        <w:adjustRightInd/>
        <w:snapToGrid/>
        <w:spacing w:line="550" w:lineRule="exact"/>
        <w:ind w:firstLine="0" w:firstLineChars="0"/>
        <w:textAlignment w:val="auto"/>
        <w:rPr>
          <w:rFonts w:hint="eastAsia" w:cs="Times New Roman"/>
          <w:lang w:eastAsia="zh-CN"/>
        </w:rPr>
      </w:pPr>
      <w:r>
        <w:rPr>
          <w:rFonts w:hint="eastAsia" w:cs="Times New Roman"/>
          <w:lang w:eastAsia="zh-CN"/>
        </w:rPr>
        <w:t>联 系 电话：</w:t>
      </w:r>
      <w:r>
        <w:rPr>
          <w:rFonts w:hint="eastAsia" w:cs="Times New Roman"/>
          <w:lang w:val="en-US" w:eastAsia="zh-CN"/>
        </w:rPr>
        <w:t>65103680</w:t>
      </w:r>
    </w:p>
    <w:p w14:paraId="547BADD9">
      <w:pPr>
        <w:pStyle w:val="15"/>
        <w:keepNext w:val="0"/>
        <w:keepLines w:val="0"/>
        <w:pageBreakBefore w:val="0"/>
        <w:widowControl w:val="0"/>
        <w:kinsoku/>
        <w:wordWrap/>
        <w:overflowPunct/>
        <w:topLinePunct w:val="0"/>
        <w:autoSpaceDE/>
        <w:autoSpaceDN/>
        <w:bidi w:val="0"/>
        <w:adjustRightInd/>
        <w:snapToGrid/>
        <w:spacing w:line="550" w:lineRule="exact"/>
        <w:ind w:firstLine="0" w:firstLineChars="0"/>
        <w:textAlignment w:val="auto"/>
        <w:rPr>
          <w:rFonts w:hint="eastAsia"/>
          <w:lang w:eastAsia="zh-CN"/>
        </w:rPr>
      </w:pPr>
      <w:r>
        <w:rPr>
          <w:rFonts w:hint="eastAsia"/>
        </w:rPr>
        <w:t>抄</w:t>
      </w:r>
      <w:r>
        <w:t xml:space="preserve">      </w:t>
      </w:r>
      <w:r>
        <w:rPr>
          <w:rFonts w:hint="eastAsia"/>
        </w:rPr>
        <w:t>送：市政府办公室、市政协提案委</w:t>
      </w:r>
      <w:r>
        <w:rPr>
          <w:rFonts w:hint="eastAsia"/>
          <w:lang w:eastAsia="zh-CN"/>
        </w:rPr>
        <w:t>、市卫健委、</w:t>
      </w:r>
    </w:p>
    <w:p w14:paraId="55EB3958">
      <w:pPr>
        <w:pStyle w:val="15"/>
        <w:keepNext w:val="0"/>
        <w:keepLines w:val="0"/>
        <w:pageBreakBefore w:val="0"/>
        <w:widowControl w:val="0"/>
        <w:kinsoku/>
        <w:wordWrap/>
        <w:overflowPunct/>
        <w:topLinePunct w:val="0"/>
        <w:autoSpaceDE/>
        <w:autoSpaceDN/>
        <w:bidi w:val="0"/>
        <w:adjustRightInd/>
        <w:snapToGrid/>
        <w:spacing w:line="550" w:lineRule="exact"/>
        <w:ind w:firstLine="1920" w:firstLineChars="600"/>
        <w:textAlignment w:val="auto"/>
        <w:rPr>
          <w:rFonts w:hint="eastAsia" w:ascii="Times New Roman" w:eastAsia="仿宋"/>
          <w:color w:val="0000FF"/>
          <w:sz w:val="32"/>
          <w:szCs w:val="32"/>
          <w:lang w:eastAsia="zh-CN"/>
        </w:rPr>
      </w:pPr>
      <w:r>
        <w:rPr>
          <w:rFonts w:hint="eastAsia"/>
          <w:lang w:eastAsia="zh-CN"/>
        </w:rPr>
        <w:t>市红十字会</w:t>
      </w:r>
    </w:p>
    <w:sectPr>
      <w:headerReference r:id="rId3" w:type="first"/>
      <w:footerReference r:id="rId6" w:type="first"/>
      <w:footerReference r:id="rId4" w:type="default"/>
      <w:footerReference r:id="rId5" w:type="even"/>
      <w:pgSz w:w="11907" w:h="16840"/>
      <w:pgMar w:top="1928" w:right="1417" w:bottom="1928" w:left="1417" w:header="851" w:footer="1418" w:gutter="227"/>
      <w:pgNumType w:fmt="numberInDash"/>
      <w:cols w:space="720" w:num="1"/>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286A6">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79C4C9D">
                          <w:pPr>
                            <w:pStyle w:val="4"/>
                            <w:keepNext w:val="0"/>
                            <w:keepLines w:val="0"/>
                            <w:pageBreakBefore w:val="0"/>
                            <w:widowControl w:val="0"/>
                            <w:kinsoku/>
                            <w:wordWrap/>
                            <w:overflowPunct/>
                            <w:topLinePunct w:val="0"/>
                            <w:bidi w:val="0"/>
                            <w:adjustRightInd/>
                            <w:snapToGrid w:val="0"/>
                            <w:ind w:left="420" w:leftChars="200" w:right="420" w:rightChars="200"/>
                            <w:textAlignment w:val="auto"/>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rPr>
                            <w:t>- 2 -</w:t>
                          </w:r>
                          <w:r>
                            <w:rPr>
                              <w:rFonts w:ascii="宋体" w:hAnsi="宋体" w:eastAsia="宋体"/>
                              <w:sz w:val="28"/>
                              <w:szCs w:val="28"/>
                            </w:rPr>
                            <w:fldChar w:fldCharType="end"/>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om5dHdAQAAvgMAAA4AAAAAAAAA&#10;AQAgAAAAHgEAAGRycy9lMm9Eb2MueG1sUEsFBgAAAAAGAAYAWQEAAG0FAAAAAA==&#10;">
              <v:fill on="f" focussize="0,0"/>
              <v:stroke on="f"/>
              <v:imagedata o:title=""/>
              <o:lock v:ext="edit" aspectratio="f"/>
              <v:textbox inset="0mm,0mm,0mm,0mm" style="mso-fit-shape-to-text:t;">
                <w:txbxContent>
                  <w:p w14:paraId="379C4C9D">
                    <w:pPr>
                      <w:pStyle w:val="4"/>
                      <w:keepNext w:val="0"/>
                      <w:keepLines w:val="0"/>
                      <w:pageBreakBefore w:val="0"/>
                      <w:widowControl w:val="0"/>
                      <w:kinsoku/>
                      <w:wordWrap/>
                      <w:overflowPunct/>
                      <w:topLinePunct w:val="0"/>
                      <w:bidi w:val="0"/>
                      <w:adjustRightInd/>
                      <w:snapToGrid w:val="0"/>
                      <w:ind w:left="420" w:leftChars="200" w:right="420" w:rightChars="200"/>
                      <w:textAlignment w:val="auto"/>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rPr>
                      <w:t>- 2 -</w:t>
                    </w:r>
                    <w:r>
                      <w:rPr>
                        <w:rFonts w:ascii="宋体" w:hAnsi="宋体" w:eastAsia="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F2C55">
    <w:pPr>
      <w:pStyle w:val="4"/>
      <w:framePr w:wrap="around" w:vAnchor="text" w:hAnchor="margin" w:xAlign="center" w:y="1"/>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rPr>
      <w:t>- 2 -</w:t>
    </w:r>
    <w:r>
      <w:rPr>
        <w:rFonts w:ascii="宋体" w:hAnsi="宋体" w:eastAsia="宋体"/>
        <w:sz w:val="28"/>
        <w:szCs w:val="28"/>
      </w:rPr>
      <w:fldChar w:fldCharType="end"/>
    </w:r>
  </w:p>
  <w:p w14:paraId="011D8A9A">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9C3D4">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2C909">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6"/>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5"/>
  <w:hyphenationZone w:val="360"/>
  <w:drawingGridHorizontalSpacing w:val="105"/>
  <w:drawingGridVerticalSpacing w:val="579"/>
  <w:displayHorizontalDrawingGridEvery w:val="0"/>
  <w:displayVerticalDrawingGridEvery w:val="1"/>
  <w:characterSpacingControl w:val="compressPunctuation"/>
  <w:hdrShapeDefaults>
    <o:shapelayout v:ext="edit">
      <o:idmap v:ext="edit" data="2"/>
    </o:shapelayout>
  </w:hdrShapeDefaults>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3YTJjMjUwZGEyZjJiODFhMTlhYmEzNjdhOWVlZTUifQ=="/>
  </w:docVars>
  <w:rsids>
    <w:rsidRoot w:val="7F8570B8"/>
    <w:rsid w:val="00045292"/>
    <w:rsid w:val="000803F5"/>
    <w:rsid w:val="00082101"/>
    <w:rsid w:val="000B622A"/>
    <w:rsid w:val="000C204F"/>
    <w:rsid w:val="000C3B70"/>
    <w:rsid w:val="001015E8"/>
    <w:rsid w:val="00113B13"/>
    <w:rsid w:val="001244D7"/>
    <w:rsid w:val="00127206"/>
    <w:rsid w:val="0013613B"/>
    <w:rsid w:val="00136994"/>
    <w:rsid w:val="00155558"/>
    <w:rsid w:val="00170750"/>
    <w:rsid w:val="001B4BB5"/>
    <w:rsid w:val="001E1A7A"/>
    <w:rsid w:val="001F4FDA"/>
    <w:rsid w:val="001F6740"/>
    <w:rsid w:val="00205064"/>
    <w:rsid w:val="00224806"/>
    <w:rsid w:val="00271781"/>
    <w:rsid w:val="00275F81"/>
    <w:rsid w:val="00284939"/>
    <w:rsid w:val="002B484F"/>
    <w:rsid w:val="002B72F5"/>
    <w:rsid w:val="002C01D3"/>
    <w:rsid w:val="002C1244"/>
    <w:rsid w:val="002C53F0"/>
    <w:rsid w:val="002E56A4"/>
    <w:rsid w:val="002E7B43"/>
    <w:rsid w:val="002F5677"/>
    <w:rsid w:val="003109A8"/>
    <w:rsid w:val="003168B0"/>
    <w:rsid w:val="00322EAE"/>
    <w:rsid w:val="00331D07"/>
    <w:rsid w:val="003322F1"/>
    <w:rsid w:val="00351D37"/>
    <w:rsid w:val="00363833"/>
    <w:rsid w:val="0038526F"/>
    <w:rsid w:val="00390A7B"/>
    <w:rsid w:val="00391B10"/>
    <w:rsid w:val="003C316A"/>
    <w:rsid w:val="003E16C4"/>
    <w:rsid w:val="003F3FD2"/>
    <w:rsid w:val="004076DD"/>
    <w:rsid w:val="0042736D"/>
    <w:rsid w:val="00455C99"/>
    <w:rsid w:val="00463FE2"/>
    <w:rsid w:val="004852FE"/>
    <w:rsid w:val="00490EB1"/>
    <w:rsid w:val="0049110A"/>
    <w:rsid w:val="00495309"/>
    <w:rsid w:val="004A2E29"/>
    <w:rsid w:val="004B2169"/>
    <w:rsid w:val="004B618A"/>
    <w:rsid w:val="004B626E"/>
    <w:rsid w:val="004C5FC4"/>
    <w:rsid w:val="004E4E36"/>
    <w:rsid w:val="004F0BF4"/>
    <w:rsid w:val="004F67D6"/>
    <w:rsid w:val="004F6DCA"/>
    <w:rsid w:val="00525143"/>
    <w:rsid w:val="00545DC4"/>
    <w:rsid w:val="00554CA5"/>
    <w:rsid w:val="0055512D"/>
    <w:rsid w:val="005568DE"/>
    <w:rsid w:val="00560E55"/>
    <w:rsid w:val="00582D09"/>
    <w:rsid w:val="0058530A"/>
    <w:rsid w:val="005A2FA0"/>
    <w:rsid w:val="005A5E4F"/>
    <w:rsid w:val="005C2E4F"/>
    <w:rsid w:val="005D6720"/>
    <w:rsid w:val="005D7665"/>
    <w:rsid w:val="0060470C"/>
    <w:rsid w:val="006151D5"/>
    <w:rsid w:val="0064078C"/>
    <w:rsid w:val="006721B8"/>
    <w:rsid w:val="00692AEB"/>
    <w:rsid w:val="006A7E9C"/>
    <w:rsid w:val="006B33F9"/>
    <w:rsid w:val="006B58E2"/>
    <w:rsid w:val="006C3ADF"/>
    <w:rsid w:val="006E1B4A"/>
    <w:rsid w:val="006E66A1"/>
    <w:rsid w:val="006F6DF7"/>
    <w:rsid w:val="00724B7A"/>
    <w:rsid w:val="007316E9"/>
    <w:rsid w:val="00741B66"/>
    <w:rsid w:val="0075124D"/>
    <w:rsid w:val="007863ED"/>
    <w:rsid w:val="007A519A"/>
    <w:rsid w:val="008144A5"/>
    <w:rsid w:val="00815BDF"/>
    <w:rsid w:val="00817FA3"/>
    <w:rsid w:val="00851202"/>
    <w:rsid w:val="00867029"/>
    <w:rsid w:val="00872179"/>
    <w:rsid w:val="00876921"/>
    <w:rsid w:val="00892BFD"/>
    <w:rsid w:val="00895067"/>
    <w:rsid w:val="008B50C4"/>
    <w:rsid w:val="008D5EF8"/>
    <w:rsid w:val="00921922"/>
    <w:rsid w:val="009270C5"/>
    <w:rsid w:val="00933378"/>
    <w:rsid w:val="009569E0"/>
    <w:rsid w:val="00961CE0"/>
    <w:rsid w:val="009636EF"/>
    <w:rsid w:val="00967F5A"/>
    <w:rsid w:val="0097493F"/>
    <w:rsid w:val="00981264"/>
    <w:rsid w:val="00990029"/>
    <w:rsid w:val="00991C72"/>
    <w:rsid w:val="00993E5D"/>
    <w:rsid w:val="009A2D78"/>
    <w:rsid w:val="009A3748"/>
    <w:rsid w:val="009A5576"/>
    <w:rsid w:val="009C39E3"/>
    <w:rsid w:val="009C4710"/>
    <w:rsid w:val="009D0535"/>
    <w:rsid w:val="00A41F29"/>
    <w:rsid w:val="00A536CF"/>
    <w:rsid w:val="00AC37A4"/>
    <w:rsid w:val="00AD4CC3"/>
    <w:rsid w:val="00AF4EB8"/>
    <w:rsid w:val="00B32A2E"/>
    <w:rsid w:val="00B70DA9"/>
    <w:rsid w:val="00B75AC5"/>
    <w:rsid w:val="00B76435"/>
    <w:rsid w:val="00B76FE1"/>
    <w:rsid w:val="00B871A7"/>
    <w:rsid w:val="00B90A4D"/>
    <w:rsid w:val="00B91DE4"/>
    <w:rsid w:val="00B95A09"/>
    <w:rsid w:val="00BA14C3"/>
    <w:rsid w:val="00BA572C"/>
    <w:rsid w:val="00BC0400"/>
    <w:rsid w:val="00BE0B14"/>
    <w:rsid w:val="00BF60FA"/>
    <w:rsid w:val="00C420CA"/>
    <w:rsid w:val="00C615D1"/>
    <w:rsid w:val="00C639B3"/>
    <w:rsid w:val="00CA6EE0"/>
    <w:rsid w:val="00CF0B21"/>
    <w:rsid w:val="00D00FA6"/>
    <w:rsid w:val="00D26435"/>
    <w:rsid w:val="00D26FBE"/>
    <w:rsid w:val="00D33255"/>
    <w:rsid w:val="00D4233D"/>
    <w:rsid w:val="00D44547"/>
    <w:rsid w:val="00D86564"/>
    <w:rsid w:val="00D86D96"/>
    <w:rsid w:val="00DA041F"/>
    <w:rsid w:val="00DB4DB1"/>
    <w:rsid w:val="00DE1A7E"/>
    <w:rsid w:val="00DF6C3A"/>
    <w:rsid w:val="00E066BB"/>
    <w:rsid w:val="00E17777"/>
    <w:rsid w:val="00E601FE"/>
    <w:rsid w:val="00E619F2"/>
    <w:rsid w:val="00E72A34"/>
    <w:rsid w:val="00E83AD3"/>
    <w:rsid w:val="00E95041"/>
    <w:rsid w:val="00EE6E7A"/>
    <w:rsid w:val="00F33872"/>
    <w:rsid w:val="00F33CA6"/>
    <w:rsid w:val="00F52DA0"/>
    <w:rsid w:val="00FD11C0"/>
    <w:rsid w:val="02AC0B14"/>
    <w:rsid w:val="049B5201"/>
    <w:rsid w:val="0AD82C3E"/>
    <w:rsid w:val="101A2ED3"/>
    <w:rsid w:val="1DBE672F"/>
    <w:rsid w:val="20E62BD1"/>
    <w:rsid w:val="21486514"/>
    <w:rsid w:val="294F1BAF"/>
    <w:rsid w:val="2CFF3CE2"/>
    <w:rsid w:val="49E46575"/>
    <w:rsid w:val="4BEB6189"/>
    <w:rsid w:val="54542900"/>
    <w:rsid w:val="61A7456F"/>
    <w:rsid w:val="61CD07DD"/>
    <w:rsid w:val="710D040A"/>
    <w:rsid w:val="751065EC"/>
    <w:rsid w:val="7F8570B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21"/>
      <w:lang w:val="en-US" w:eastAsia="zh-CN" w:bidi="ar-SA"/>
    </w:rPr>
  </w:style>
  <w:style w:type="paragraph" w:styleId="2">
    <w:name w:val="heading 1"/>
    <w:basedOn w:val="1"/>
    <w:next w:val="1"/>
    <w:link w:val="11"/>
    <w:qFormat/>
    <w:uiPriority w:val="0"/>
    <w:pPr>
      <w:keepNext/>
      <w:keepLines/>
      <w:spacing w:before="340" w:after="330" w:line="578" w:lineRule="auto"/>
      <w:outlineLvl w:val="0"/>
    </w:pPr>
    <w:rPr>
      <w:b/>
      <w:bCs/>
      <w:kern w:val="44"/>
      <w:sz w:val="44"/>
      <w:szCs w:val="44"/>
    </w:rPr>
  </w:style>
  <w:style w:type="character" w:default="1" w:styleId="9">
    <w:name w:val="Default Paragraph Font"/>
    <w:unhideWhenUsed/>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3">
    <w:name w:val="Balloon Text"/>
    <w:basedOn w:val="1"/>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tabs>
        <w:tab w:val="center" w:pos="4153"/>
        <w:tab w:val="right" w:pos="8306"/>
      </w:tabs>
      <w:snapToGrid w:val="0"/>
      <w:jc w:val="center"/>
    </w:pPr>
    <w:rPr>
      <w:sz w:val="10"/>
      <w:szCs w:val="18"/>
    </w:rPr>
  </w:style>
  <w:style w:type="paragraph" w:styleId="6">
    <w:name w:val="Title"/>
    <w:basedOn w:val="1"/>
    <w:next w:val="1"/>
    <w:link w:val="12"/>
    <w:qFormat/>
    <w:uiPriority w:val="0"/>
    <w:pPr>
      <w:spacing w:before="240" w:after="60"/>
      <w:jc w:val="center"/>
      <w:outlineLvl w:val="0"/>
    </w:pPr>
    <w:rPr>
      <w:rFonts w:ascii="Cambria" w:hAnsi="Cambria" w:eastAsia="宋体"/>
      <w:b/>
      <w:bCs/>
      <w:sz w:val="32"/>
      <w:szCs w:val="32"/>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character" w:customStyle="1" w:styleId="11">
    <w:name w:val="标题 1 Char"/>
    <w:link w:val="2"/>
    <w:qFormat/>
    <w:uiPriority w:val="0"/>
    <w:rPr>
      <w:rFonts w:ascii="仿宋_GB2312" w:eastAsia="仿宋_GB2312"/>
      <w:b/>
      <w:bCs/>
      <w:kern w:val="44"/>
      <w:sz w:val="44"/>
      <w:szCs w:val="44"/>
    </w:rPr>
  </w:style>
  <w:style w:type="character" w:customStyle="1" w:styleId="12">
    <w:name w:val="标题 Char"/>
    <w:link w:val="6"/>
    <w:qFormat/>
    <w:uiPriority w:val="0"/>
    <w:rPr>
      <w:rFonts w:ascii="Cambria" w:hAnsi="Cambria"/>
      <w:b/>
      <w:bCs/>
      <w:kern w:val="2"/>
      <w:sz w:val="32"/>
      <w:szCs w:val="32"/>
    </w:rPr>
  </w:style>
  <w:style w:type="paragraph" w:customStyle="1" w:styleId="13">
    <w:name w:val="副标题1"/>
    <w:basedOn w:val="14"/>
    <w:qFormat/>
    <w:uiPriority w:val="0"/>
    <w:pPr>
      <w:spacing w:line="240" w:lineRule="auto"/>
    </w:pPr>
    <w:rPr>
      <w:rFonts w:ascii="楷体" w:hAnsi="楷体" w:eastAsia="楷体" w:cs="宋体"/>
      <w:sz w:val="32"/>
      <w:szCs w:val="20"/>
    </w:rPr>
  </w:style>
  <w:style w:type="paragraph" w:customStyle="1" w:styleId="14">
    <w:name w:val="公文标题"/>
    <w:basedOn w:val="1"/>
    <w:qFormat/>
    <w:uiPriority w:val="0"/>
    <w:pPr>
      <w:spacing w:line="600" w:lineRule="exact"/>
      <w:jc w:val="center"/>
    </w:pPr>
    <w:rPr>
      <w:rFonts w:ascii="方正小标宋简体" w:eastAsia="方正小标宋简体"/>
      <w:kern w:val="0"/>
      <w:sz w:val="44"/>
      <w:szCs w:val="44"/>
    </w:rPr>
  </w:style>
  <w:style w:type="paragraph" w:customStyle="1" w:styleId="15">
    <w:name w:val="公文正文"/>
    <w:basedOn w:val="1"/>
    <w:qFormat/>
    <w:uiPriority w:val="0"/>
    <w:pPr>
      <w:ind w:firstLine="640" w:firstLineChars="200"/>
    </w:pPr>
    <w:rPr>
      <w:rFonts w:ascii="仿宋" w:hAnsi="仿宋" w:eastAsia="仿宋"/>
      <w:sz w:val="32"/>
      <w:szCs w:val="32"/>
    </w:rPr>
  </w:style>
  <w:style w:type="paragraph" w:customStyle="1" w:styleId="16">
    <w:name w:val="p0"/>
    <w:basedOn w:val="1"/>
    <w:qFormat/>
    <w:uiPriority w:val="0"/>
    <w:pPr>
      <w:widowControl/>
    </w:pPr>
    <w:rPr>
      <w:rFonts w:ascii="Times New Roman" w:eastAsia="宋体"/>
      <w:kern w:val="0"/>
      <w:szCs w:val="21"/>
    </w:rPr>
  </w:style>
  <w:style w:type="paragraph" w:customStyle="1" w:styleId="17">
    <w:name w:val="Char Char Char Char"/>
    <w:basedOn w:val="1"/>
    <w:qFormat/>
    <w:uiPriority w:val="0"/>
    <w:pPr>
      <w:widowControl/>
      <w:spacing w:after="160" w:line="240" w:lineRule="exact"/>
      <w:jc w:val="left"/>
    </w:pPr>
    <w:rPr>
      <w:rFonts w:ascii="Verdana" w:hAnsi="Verdana"/>
      <w:kern w:val="0"/>
      <w:sz w:val="24"/>
      <w:lang w:eastAsia="en-US"/>
    </w:rPr>
  </w:style>
  <w:style w:type="paragraph" w:customStyle="1" w:styleId="18">
    <w:name w:val="公文二级目录"/>
    <w:basedOn w:val="1"/>
    <w:qFormat/>
    <w:uiPriority w:val="0"/>
    <w:pPr>
      <w:ind w:firstLine="640" w:firstLineChars="200"/>
    </w:pPr>
    <w:rPr>
      <w:rFonts w:ascii="楷体_GB2312" w:hAnsi="仿宋" w:eastAsia="楷体_GB2312"/>
      <w:sz w:val="32"/>
      <w:szCs w:val="32"/>
    </w:rPr>
  </w:style>
  <w:style w:type="paragraph" w:customStyle="1" w:styleId="19">
    <w:name w:val="公文一级目录"/>
    <w:basedOn w:val="1"/>
    <w:qFormat/>
    <w:uiPriority w:val="0"/>
    <w:pPr>
      <w:ind w:firstLine="640" w:firstLineChars="200"/>
    </w:pPr>
    <w:rPr>
      <w:rFonts w:ascii="黑体" w:eastAsia="黑体"/>
      <w:sz w:val="32"/>
      <w:szCs w:val="32"/>
    </w:rPr>
  </w:style>
  <w:style w:type="paragraph" w:customStyle="1" w:styleId="20">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21">
    <w:name w:val="公文抬头"/>
    <w:basedOn w:val="1"/>
    <w:qFormat/>
    <w:uiPriority w:val="0"/>
    <w:rPr>
      <w:rFonts w:ascii="仿宋" w:hAnsi="仿宋" w:eastAsia="仿宋"/>
      <w:sz w:val="32"/>
      <w:szCs w:val="32"/>
    </w:rPr>
  </w:style>
  <w:style w:type="paragraph" w:customStyle="1" w:styleId="22">
    <w:name w:val="p19"/>
    <w:basedOn w:val="1"/>
    <w:qFormat/>
    <w:uiPriority w:val="0"/>
    <w:pPr>
      <w:widowControl/>
    </w:pPr>
    <w:rPr>
      <w:rFonts w:ascii="Times New Roman" w:eastAsia="宋体"/>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Y:\&#24120;&#29992;&#34920;&#24335;&#21450;&#27169;&#26495;\0&#25919;&#21327;&#20027;&#21150;.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0政协主办.dot</Template>
  <Pages>4</Pages>
  <Words>2023</Words>
  <Characters>2082</Characters>
  <Lines>1</Lines>
  <Paragraphs>1</Paragraphs>
  <TotalTime>0</TotalTime>
  <ScaleCrop>false</ScaleCrop>
  <LinksUpToDate>false</LinksUpToDate>
  <CharactersWithSpaces>2108</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2025-06-12T08:48:00Z</dcterms:created>
  <dc:creator>琪思喵相</dc:creator>
  <cp:keywords>JYJBGS</cp:keywords>
  <cp:lastModifiedBy>琪思喵相</cp:lastModifiedBy>
  <cp:lastPrinted>2025-06-13T07:18:09Z</cp:lastPrinted>
  <dcterms:modified xsi:type="dcterms:W3CDTF">2025-06-13T07:25:09Z</dcterms:modified>
  <dc:title>行政公文模板2020</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3557DB0CA4294CD1A1CBC427349F134A_11</vt:lpwstr>
  </property>
  <property fmtid="{D5CDD505-2E9C-101B-9397-08002B2CF9AE}" pid="4" name="KSOTemplateDocerSaveRecord">
    <vt:lpwstr>eyJoZGlkIjoiYzg3YTJjMjUwZGEyZjJiODFhMTlhYmEzNjdhOWVlZTUiLCJ1c2VySWQiOiI2Nzc3OTk0In0=</vt:lpwstr>
  </property>
</Properties>
</file>