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C4B458">
      <w:pPr>
        <w:spacing w:line="600" w:lineRule="exact"/>
        <w:jc w:val="right"/>
        <w:rPr>
          <w:rFonts w:hint="eastAsia" w:ascii="黑体" w:hAnsi="黑体" w:eastAsia="黑体" w:cs="Times New Roman"/>
          <w:w w:val="120"/>
          <w:kern w:val="0"/>
          <w:sz w:val="32"/>
          <w:szCs w:val="32"/>
        </w:rPr>
      </w:pPr>
      <w:r>
        <w:rPr>
          <w:rFonts w:hint="eastAsia" w:ascii="黑体" w:hAnsi="黑体" w:eastAsia="黑体" w:cs="Times New Roman"/>
          <w:w w:val="120"/>
          <w:kern w:val="0"/>
          <w:sz w:val="32"/>
          <w:szCs w:val="32"/>
        </w:rPr>
        <w:t>〔</w:t>
      </w:r>
      <w:r>
        <w:rPr>
          <w:rFonts w:hint="eastAsia" w:ascii="黑体" w:hAnsi="黑体" w:eastAsia="黑体"/>
          <w:w w:val="120"/>
          <w:kern w:val="0"/>
          <w:sz w:val="32"/>
          <w:szCs w:val="32"/>
        </w:rPr>
        <w:t>A</w:t>
      </w:r>
      <w:r>
        <w:rPr>
          <w:rFonts w:hint="eastAsia" w:ascii="黑体" w:hAnsi="黑体" w:eastAsia="黑体" w:cs="Times New Roman"/>
          <w:w w:val="120"/>
          <w:kern w:val="0"/>
          <w:sz w:val="32"/>
          <w:szCs w:val="32"/>
        </w:rPr>
        <w:t>〕</w:t>
      </w:r>
    </w:p>
    <w:p w14:paraId="04469E34">
      <w:pPr>
        <w:pStyle w:val="4"/>
        <w:bidi w:val="0"/>
        <w:rPr>
          <w:rFonts w:hint="eastAsia"/>
        </w:rPr>
      </w:pPr>
    </w:p>
    <w:p w14:paraId="0C0169C1">
      <w:pPr>
        <w:spacing w:line="1300" w:lineRule="exact"/>
        <w:ind w:left="546" w:leftChars="260" w:right="544" w:rightChars="259"/>
        <w:jc w:val="distribute"/>
        <w:rPr>
          <w:rFonts w:ascii="方正小标宋简体" w:eastAsia="方正小标宋简体"/>
          <w:color w:val="FF0000"/>
          <w:w w:val="80"/>
          <w:sz w:val="96"/>
          <w:szCs w:val="96"/>
        </w:rPr>
      </w:pPr>
      <w:r>
        <w:rPr>
          <w:rFonts w:hint="eastAsia" w:ascii="方正小标宋简体" w:eastAsia="方正小标宋简体"/>
          <w:color w:val="FF0000"/>
          <w:w w:val="80"/>
          <w:sz w:val="96"/>
          <w:szCs w:val="96"/>
        </w:rPr>
        <w:t>苏州市教育局</w:t>
      </w:r>
    </w:p>
    <w:p w14:paraId="4C0B7432">
      <w:pPr>
        <w:spacing w:line="460" w:lineRule="exact"/>
        <w:jc w:val="center"/>
        <w:rPr>
          <w:rFonts w:ascii="Times New Roman"/>
          <w:sz w:val="32"/>
          <w:szCs w:val="32"/>
          <w:lang/>
        </w:rPr>
      </w:pPr>
    </w:p>
    <w:p w14:paraId="39F6920A">
      <w:pPr>
        <w:spacing w:line="570" w:lineRule="exact"/>
        <w:ind w:firstLine="320" w:firstLineChars="100"/>
        <w:jc w:val="center"/>
        <w:rPr>
          <w:rFonts w:hint="eastAsia" w:ascii="仿宋" w:hAnsi="仿宋" w:eastAsia="仿宋" w:cs="仿宋"/>
          <w:snapToGrid w:val="0"/>
          <w:kern w:val="0"/>
          <w:sz w:val="32"/>
          <w:szCs w:val="32"/>
          <w:lang w:eastAsia="zh-CN"/>
        </w:rPr>
      </w:pPr>
      <w:r>
        <w:rPr>
          <w:rFonts w:hint="eastAsia" w:ascii="仿宋" w:hAnsi="仿宋" w:eastAsia="仿宋" w:cs="仿宋"/>
          <w:snapToGrid w:val="0"/>
          <w:kern w:val="0"/>
          <w:sz w:val="32"/>
          <w:szCs w:val="32"/>
        </w:rPr>
        <w:t>〔</w:t>
      </w:r>
      <w:r>
        <w:rPr>
          <w:rFonts w:hint="eastAsia" w:ascii="仿宋" w:hAnsi="仿宋" w:eastAsia="仿宋" w:cs="仿宋"/>
          <w:snapToGrid w:val="0"/>
          <w:kern w:val="0"/>
          <w:sz w:val="32"/>
          <w:szCs w:val="32"/>
          <w:lang w:eastAsia="zh-CN"/>
        </w:rPr>
        <w:t>2025</w:t>
      </w:r>
      <w:r>
        <w:rPr>
          <w:rFonts w:hint="eastAsia" w:ascii="仿宋" w:hAnsi="仿宋" w:eastAsia="仿宋" w:cs="仿宋"/>
          <w:snapToGrid w:val="0"/>
          <w:kern w:val="0"/>
          <w:sz w:val="32"/>
          <w:szCs w:val="32"/>
        </w:rPr>
        <w:t>〕</w:t>
      </w:r>
      <w:r>
        <w:rPr>
          <w:rFonts w:hint="eastAsia" w:ascii="仿宋" w:hAnsi="仿宋" w:eastAsia="仿宋" w:cs="仿宋"/>
          <w:snapToGrid w:val="0"/>
          <w:kern w:val="0"/>
          <w:sz w:val="32"/>
          <w:szCs w:val="32"/>
          <w:lang/>
        </w:rPr>
        <w:t>苏教办复第</w:t>
      </w:r>
      <w:r>
        <w:rPr>
          <w:rFonts w:hint="eastAsia" w:ascii="仿宋" w:hAnsi="仿宋" w:eastAsia="仿宋" w:cs="仿宋"/>
          <w:snapToGrid w:val="0"/>
          <w:kern w:val="0"/>
          <w:sz w:val="32"/>
          <w:szCs w:val="32"/>
          <w:lang w:val="en-US" w:eastAsia="zh-CN"/>
        </w:rPr>
        <w:t>175</w:t>
      </w:r>
      <w:r>
        <w:rPr>
          <w:rFonts w:hint="eastAsia" w:ascii="仿宋" w:hAnsi="仿宋" w:eastAsia="仿宋" w:cs="仿宋"/>
          <w:snapToGrid w:val="0"/>
          <w:kern w:val="0"/>
          <w:sz w:val="32"/>
          <w:szCs w:val="32"/>
          <w:lang/>
        </w:rPr>
        <w:t xml:space="preserve">号                 </w:t>
      </w:r>
      <w:r>
        <w:rPr>
          <w:rFonts w:hint="eastAsia" w:ascii="仿宋" w:hAnsi="仿宋" w:eastAsia="仿宋" w:cs="仿宋"/>
          <w:sz w:val="32"/>
          <w:szCs w:val="32"/>
        </w:rPr>
        <w:t>签发：</w:t>
      </w:r>
      <w:r>
        <w:rPr>
          <w:rFonts w:hint="eastAsia" w:ascii="仿宋" w:hAnsi="仿宋" w:eastAsia="仿宋" w:cs="仿宋"/>
          <w:sz w:val="32"/>
          <w:szCs w:val="32"/>
          <w:lang w:eastAsia="zh-CN"/>
        </w:rPr>
        <w:t>周志芳</w:t>
      </w:r>
    </w:p>
    <w:p w14:paraId="232C1543">
      <w:pPr>
        <w:spacing w:line="570" w:lineRule="exact"/>
        <w:jc w:val="center"/>
        <w:rPr>
          <w:rFonts w:ascii="Times New Roman" w:eastAsia="仿宋"/>
          <w:snapToGrid w:val="0"/>
          <w:kern w:val="0"/>
          <w:sz w:val="32"/>
          <w:szCs w:val="32"/>
          <w:lang/>
        </w:rPr>
      </w:pPr>
      <w:r>
        <w:rPr>
          <w:rFonts w:ascii="Times New Roman" w:eastAsia="仿宋"/>
          <w:kern w:val="0"/>
          <w:sz w:val="32"/>
          <w:szCs w:val="32"/>
          <w:lang/>
        </w:rPr>
        <mc:AlternateContent>
          <mc:Choice Requires="wps">
            <w:drawing>
              <wp:anchor distT="0" distB="0" distL="114300" distR="114300" simplePos="0" relativeHeight="251659264" behindDoc="0" locked="0" layoutInCell="1" allowOverlap="1">
                <wp:simplePos x="0" y="0"/>
                <wp:positionH relativeFrom="column">
                  <wp:posOffset>19685</wp:posOffset>
                </wp:positionH>
                <wp:positionV relativeFrom="paragraph">
                  <wp:posOffset>60960</wp:posOffset>
                </wp:positionV>
                <wp:extent cx="5777230" cy="0"/>
                <wp:effectExtent l="0" t="9525" r="13970" b="13335"/>
                <wp:wrapNone/>
                <wp:docPr id="1" name="直线 4"/>
                <wp:cNvGraphicFramePr/>
                <a:graphic xmlns:a="http://schemas.openxmlformats.org/drawingml/2006/main">
                  <a:graphicData uri="http://schemas.microsoft.com/office/word/2010/wordprocessingShape">
                    <wps:wsp>
                      <wps:cNvSpPr/>
                      <wps:spPr>
                        <a:xfrm>
                          <a:off x="0" y="0"/>
                          <a:ext cx="5777230" cy="0"/>
                        </a:xfrm>
                        <a:prstGeom prst="line">
                          <a:avLst/>
                        </a:prstGeom>
                        <a:ln w="19050" cap="flat" cmpd="sng">
                          <a:solidFill>
                            <a:srgbClr val="FF0000"/>
                          </a:solidFill>
                          <a:prstDash val="solid"/>
                          <a:headEnd type="none" w="med" len="med"/>
                          <a:tailEnd type="none" w="med" len="med"/>
                        </a:ln>
                      </wps:spPr>
                      <wps:bodyPr upright="1"/>
                    </wps:wsp>
                  </a:graphicData>
                </a:graphic>
              </wp:anchor>
            </w:drawing>
          </mc:Choice>
          <mc:Fallback>
            <w:pict>
              <v:line id="直线 4" o:spid="_x0000_s1026" o:spt="20" style="position:absolute;left:0pt;margin-left:1.55pt;margin-top:4.8pt;height:0pt;width:454.9pt;z-index:251659264;mso-width-relative:page;mso-height-relative:page;" filled="f" stroked="t" coordsize="21600,21600" o:gfxdata="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z5H4H1AAA&#10;AAUBAAAPAAAAAAAAAAEAIAAAACIAAABkcnMvZG93bnJldi54bWxQSwECFAAUAAAACACHTuJAwFsN&#10;tekBAADcAwAADgAAAAAAAAABACAAAAAjAQAAZHJzL2Uyb0RvYy54bWxQSwUGAAAAAAYABgBZAQAA&#10;fgUAAAAA&#10;">
                <v:fill on="f" focussize="0,0"/>
                <v:stroke weight="1.5pt" color="#FF0000" joinstyle="round"/>
                <v:imagedata o:title=""/>
                <o:lock v:ext="edit" aspectratio="f"/>
              </v:line>
            </w:pict>
          </mc:Fallback>
        </mc:AlternateContent>
      </w:r>
    </w:p>
    <w:p w14:paraId="4362F74C">
      <w:pPr>
        <w:spacing w:line="600" w:lineRule="exact"/>
        <w:jc w:val="center"/>
        <w:rPr>
          <w:rFonts w:ascii="方正小标宋简体" w:eastAsia="方正小标宋简体"/>
          <w:kern w:val="0"/>
          <w:sz w:val="44"/>
          <w:szCs w:val="44"/>
        </w:rPr>
      </w:pPr>
      <w:r>
        <w:rPr>
          <w:rFonts w:hint="eastAsia" w:ascii="方正小标宋简体" w:eastAsia="方正小标宋简体"/>
          <w:kern w:val="0"/>
          <w:sz w:val="44"/>
          <w:szCs w:val="44"/>
        </w:rPr>
        <w:t>对市政协十</w:t>
      </w:r>
      <w:r>
        <w:rPr>
          <w:rFonts w:hint="eastAsia" w:ascii="方正小标宋简体" w:eastAsia="方正小标宋简体"/>
          <w:kern w:val="0"/>
          <w:sz w:val="44"/>
          <w:szCs w:val="44"/>
          <w:lang w:eastAsia="zh-CN"/>
        </w:rPr>
        <w:t>五</w:t>
      </w:r>
      <w:r>
        <w:rPr>
          <w:rFonts w:hint="eastAsia" w:ascii="方正小标宋简体" w:eastAsia="方正小标宋简体"/>
          <w:kern w:val="0"/>
          <w:sz w:val="44"/>
          <w:szCs w:val="44"/>
        </w:rPr>
        <w:t>届</w:t>
      </w:r>
      <w:r>
        <w:rPr>
          <w:rFonts w:hint="eastAsia" w:ascii="方正小标宋简体" w:eastAsia="方正小标宋简体"/>
          <w:kern w:val="0"/>
          <w:sz w:val="44"/>
          <w:szCs w:val="44"/>
          <w:lang w:val="en-US" w:eastAsia="zh-CN"/>
        </w:rPr>
        <w:t>四</w:t>
      </w:r>
      <w:r>
        <w:rPr>
          <w:rFonts w:hint="eastAsia" w:ascii="方正小标宋简体" w:eastAsia="方正小标宋简体"/>
          <w:kern w:val="0"/>
          <w:sz w:val="44"/>
          <w:szCs w:val="44"/>
        </w:rPr>
        <w:t>次会议</w:t>
      </w:r>
    </w:p>
    <w:p w14:paraId="5149342A">
      <w:pPr>
        <w:spacing w:line="600" w:lineRule="exact"/>
        <w:jc w:val="center"/>
        <w:rPr>
          <w:rFonts w:ascii="方正小标宋简体" w:eastAsia="方正小标宋简体"/>
          <w:kern w:val="0"/>
          <w:sz w:val="44"/>
          <w:szCs w:val="44"/>
        </w:rPr>
      </w:pPr>
      <w:r>
        <w:rPr>
          <w:rFonts w:hint="eastAsia" w:ascii="方正小标宋简体" w:eastAsia="方正小标宋简体"/>
          <w:kern w:val="0"/>
          <w:sz w:val="44"/>
          <w:szCs w:val="44"/>
        </w:rPr>
        <w:t>第</w:t>
      </w:r>
      <w:r>
        <w:rPr>
          <w:rFonts w:hint="eastAsia" w:ascii="方正小标宋简体" w:eastAsia="方正小标宋简体"/>
          <w:kern w:val="0"/>
          <w:sz w:val="44"/>
          <w:szCs w:val="44"/>
          <w:lang w:val="en-US" w:eastAsia="zh-CN"/>
        </w:rPr>
        <w:t>465</w:t>
      </w:r>
      <w:r>
        <w:rPr>
          <w:rFonts w:hint="eastAsia" w:ascii="方正小标宋简体" w:eastAsia="方正小标宋简体"/>
          <w:kern w:val="0"/>
          <w:sz w:val="44"/>
          <w:szCs w:val="44"/>
        </w:rPr>
        <w:t>号提案的答复</w:t>
      </w:r>
    </w:p>
    <w:p w14:paraId="7124BAFE">
      <w:pPr>
        <w:rPr>
          <w:rFonts w:ascii="仿宋" w:hAnsi="仿宋" w:eastAsia="仿宋"/>
          <w:sz w:val="32"/>
          <w:szCs w:val="32"/>
        </w:rPr>
      </w:pPr>
    </w:p>
    <w:p w14:paraId="0CF8B801">
      <w:pPr>
        <w:pStyle w:val="22"/>
        <w:bidi w:val="0"/>
        <w:rPr>
          <w:rFonts w:hint="eastAsia"/>
          <w:lang w:eastAsia="zh-CN"/>
        </w:rPr>
      </w:pPr>
      <w:r>
        <w:rPr>
          <w:rFonts w:hint="eastAsia"/>
          <w:lang w:eastAsia="zh-CN"/>
        </w:rPr>
        <w:t>冯文锋委员：</w:t>
      </w:r>
    </w:p>
    <w:p w14:paraId="28F21C79">
      <w:pPr>
        <w:pStyle w:val="16"/>
        <w:bidi w:val="0"/>
        <w:rPr>
          <w:rFonts w:hint="eastAsia"/>
        </w:rPr>
      </w:pPr>
      <w:r>
        <w:rPr>
          <w:rFonts w:hint="eastAsia"/>
          <w:lang w:val="en-US" w:eastAsia="zh-CN"/>
        </w:rPr>
        <w:t>您</w:t>
      </w:r>
      <w:r>
        <w:rPr>
          <w:rFonts w:hint="eastAsia"/>
        </w:rPr>
        <w:t>提出的《</w:t>
      </w:r>
      <w:r>
        <w:rPr>
          <w:rFonts w:hint="eastAsia"/>
          <w:lang w:val="en-US" w:eastAsia="zh-CN"/>
        </w:rPr>
        <w:t>关于建立苏州市家庭教育社会支持体系的建议</w:t>
      </w:r>
      <w:r>
        <w:rPr>
          <w:rFonts w:hint="eastAsia"/>
        </w:rPr>
        <w:t>》的提案收悉。现答复如下：</w:t>
      </w:r>
    </w:p>
    <w:p w14:paraId="20DC8384">
      <w:pPr>
        <w:pStyle w:val="16"/>
        <w:bidi w:val="0"/>
        <w:rPr>
          <w:rFonts w:hint="eastAsia"/>
          <w:lang w:val="en-US" w:eastAsia="zh-CN"/>
        </w:rPr>
      </w:pPr>
      <w:r>
        <w:rPr>
          <w:rFonts w:hint="eastAsia"/>
          <w:lang w:eastAsia="zh-CN"/>
        </w:rPr>
        <w:t>近年来，市教育局在市委、市政府的领导下，认真学习贯彻习近平总书记</w:t>
      </w:r>
      <w:r>
        <w:rPr>
          <w:rFonts w:hint="eastAsia"/>
          <w:lang w:val="en-US" w:eastAsia="zh-CN"/>
        </w:rPr>
        <w:t>关于</w:t>
      </w:r>
      <w:r>
        <w:rPr>
          <w:rFonts w:hint="eastAsia"/>
          <w:lang w:eastAsia="zh-CN"/>
        </w:rPr>
        <w:t>新时代家庭教育系列重要讲话精神，按照《中华人民共和国家庭教育促进法》《</w:t>
      </w:r>
      <w:r>
        <w:rPr>
          <w:rFonts w:hint="eastAsia"/>
          <w:lang w:val="en-US" w:eastAsia="zh-CN"/>
        </w:rPr>
        <w:t>江苏省家庭教育促进条例》等</w:t>
      </w:r>
      <w:r>
        <w:rPr>
          <w:rFonts w:hint="eastAsia"/>
          <w:lang w:eastAsia="zh-CN"/>
        </w:rPr>
        <w:t>要求，</w:t>
      </w:r>
      <w:r>
        <w:rPr>
          <w:rFonts w:hint="eastAsia"/>
          <w:lang w:val="en-US" w:eastAsia="zh-CN"/>
        </w:rPr>
        <w:t>贯彻落实</w:t>
      </w:r>
      <w:r>
        <w:rPr>
          <w:rFonts w:hint="eastAsia"/>
          <w:lang w:eastAsia="zh-CN"/>
        </w:rPr>
        <w:t>《家校社协同育人“教联体”工作方案》，</w:t>
      </w:r>
      <w:r>
        <w:rPr>
          <w:rFonts w:hint="eastAsia"/>
          <w:lang w:val="en-US" w:eastAsia="zh-CN"/>
        </w:rPr>
        <w:t>与妇联等相关部门密切联系，努力推进家庭教育指导服务体系建设，构建家校社协同育人新生态。</w:t>
      </w:r>
    </w:p>
    <w:p w14:paraId="3CBBD68B">
      <w:pPr>
        <w:pStyle w:val="20"/>
        <w:bidi w:val="0"/>
        <w:rPr>
          <w:rFonts w:hint="eastAsia"/>
          <w:lang w:val="en-US" w:eastAsia="zh-CN"/>
        </w:rPr>
      </w:pPr>
      <w:r>
        <w:rPr>
          <w:rFonts w:hint="eastAsia"/>
          <w:lang w:val="en-US" w:eastAsia="zh-CN"/>
        </w:rPr>
        <w:t>一、健全组织管理体系</w:t>
      </w:r>
    </w:p>
    <w:p w14:paraId="44DC8279">
      <w:pPr>
        <w:pStyle w:val="16"/>
        <w:bidi w:val="0"/>
        <w:rPr>
          <w:rFonts w:hint="eastAsia"/>
          <w:lang w:val="en-US" w:eastAsia="zh-CN"/>
        </w:rPr>
      </w:pPr>
      <w:r>
        <w:rPr>
          <w:rFonts w:hint="eastAsia"/>
          <w:lang w:val="en-US" w:eastAsia="zh-CN"/>
        </w:rPr>
        <w:t>为深入贯彻党的二十大报告中关于健全学校家庭社会育人机制的精神，</w:t>
      </w:r>
      <w:r>
        <w:rPr>
          <w:rFonts w:hint="eastAsia"/>
        </w:rPr>
        <w:t>2022年12月，市妇联、市教育局等17家单位联合印发《苏州市家庭教育工作“十四五”规划》，提出“进一步完善家庭主责、政府支持、社会协同的家庭教育格局</w:t>
      </w:r>
      <w:r>
        <w:rPr>
          <w:rFonts w:hint="eastAsia"/>
          <w:lang w:eastAsia="zh-CN"/>
        </w:rPr>
        <w:t>”。</w:t>
      </w:r>
      <w:r>
        <w:rPr>
          <w:rFonts w:hint="eastAsia"/>
          <w:lang w:val="en-US" w:eastAsia="zh-CN"/>
        </w:rPr>
        <w:t>2023年5月，市教育局协同市妇联成立苏州市家庭教育指导服务中心，印发《关于推进苏州市家庭教育指导服务体系规范化建设的实施意见》，推进由市家庭教育指导服务中心、县级市（区）分中心、街道（乡镇）家庭教育指导服务工作站、行业条线家庭教育指导工作站和社区（村）家长学校（家庭教育指导服务工作点）共同组成的覆盖城乡的家庭教育指导服务体系建设。教育系统内部也着力构建了市级家长学校总校、县级市（区）家长学校总校（家庭教育指导中心）、校级家长学校三级阵地体系，</w:t>
      </w:r>
      <w:r>
        <w:rPr>
          <w:rFonts w:hint="eastAsia"/>
          <w:lang w:eastAsia="zh-CN"/>
        </w:rPr>
        <w:t>形成上下联动、畅通高效的</w:t>
      </w:r>
      <w:r>
        <w:rPr>
          <w:rFonts w:hint="eastAsia"/>
          <w:lang w:val="en-US" w:eastAsia="zh-CN"/>
        </w:rPr>
        <w:t>家庭教育指导</w:t>
      </w:r>
      <w:r>
        <w:rPr>
          <w:rFonts w:hint="eastAsia"/>
          <w:lang w:eastAsia="zh-CN"/>
        </w:rPr>
        <w:t>工作</w:t>
      </w:r>
      <w:r>
        <w:rPr>
          <w:rFonts w:hint="eastAsia"/>
          <w:lang w:val="en-US" w:eastAsia="zh-CN"/>
        </w:rPr>
        <w:t>网络</w:t>
      </w:r>
      <w:r>
        <w:rPr>
          <w:rFonts w:hint="eastAsia"/>
          <w:lang w:eastAsia="zh-CN"/>
        </w:rPr>
        <w:t>，</w:t>
      </w:r>
      <w:r>
        <w:rPr>
          <w:rFonts w:hint="eastAsia"/>
          <w:lang w:val="en-US" w:eastAsia="zh-CN"/>
        </w:rPr>
        <w:t>有效提高家庭教育指导和服务水平。</w:t>
      </w:r>
    </w:p>
    <w:p w14:paraId="12CC3F32">
      <w:pPr>
        <w:pStyle w:val="20"/>
        <w:bidi w:val="0"/>
        <w:rPr>
          <w:rFonts w:hint="eastAsia"/>
          <w:lang w:val="en-US" w:eastAsia="zh-CN"/>
        </w:rPr>
      </w:pPr>
      <w:r>
        <w:rPr>
          <w:rFonts w:hint="eastAsia"/>
          <w:lang w:val="en-US" w:eastAsia="zh-CN"/>
        </w:rPr>
        <w:t>二、强化专业队伍建设</w:t>
      </w:r>
    </w:p>
    <w:p w14:paraId="1407B44D">
      <w:pPr>
        <w:pStyle w:val="16"/>
        <w:bidi w:val="0"/>
        <w:rPr>
          <w:rFonts w:hint="eastAsia"/>
          <w:lang w:val="en-US" w:eastAsia="zh-CN"/>
        </w:rPr>
      </w:pPr>
      <w:r>
        <w:rPr>
          <w:rFonts w:hint="eastAsia"/>
          <w:lang w:val="en-US" w:eastAsia="zh-CN"/>
        </w:rPr>
        <w:t>市教育局依托苏州大学、苏州科技大学等地方高校，每年组织“中小学家庭教育指导师”上岗培训，仅2024年，全市就培育1826名中小学家庭教育指导师。目前全市已有9838名中小学家庭教育指导师，确保每所学校至少配备2名以上的家庭教育指导师。成立一支由市级190名（两年一聘）、县（区）级600多名教师组成的家庭教育志愿者“林老师”团队，在市、县（区）两级层面开展家庭教育实践服务，为家长提供面对面指导交流。持续在全市推进中小学家庭教育名师工作室建设，现已建有33个市级名师工作室，发挥引领和示范的核心作用，辐射带动本区域家庭教育指导工作的规范化、专业化开展。全市中小学校将家庭教育指导培训纳入学校工作计划中，每学年面向全体教师至少举办2次以上的全员培训，提升教师家庭教育指导意识和能力。</w:t>
      </w:r>
    </w:p>
    <w:p w14:paraId="169C033C">
      <w:pPr>
        <w:pStyle w:val="20"/>
        <w:bidi w:val="0"/>
        <w:rPr>
          <w:rFonts w:hint="eastAsia"/>
          <w:lang w:val="en-US" w:eastAsia="zh-CN"/>
        </w:rPr>
      </w:pPr>
      <w:r>
        <w:rPr>
          <w:rFonts w:hint="eastAsia"/>
          <w:lang w:val="en-US" w:eastAsia="zh-CN"/>
        </w:rPr>
        <w:t>三、开展多元指导服务</w:t>
      </w:r>
    </w:p>
    <w:p w14:paraId="5976398E">
      <w:pPr>
        <w:pStyle w:val="16"/>
        <w:bidi w:val="0"/>
        <w:rPr>
          <w:rFonts w:hint="eastAsia"/>
          <w:lang w:val="en-US" w:eastAsia="zh-CN"/>
        </w:rPr>
      </w:pPr>
      <w:r>
        <w:rPr>
          <w:rFonts w:hint="eastAsia"/>
          <w:lang w:val="en-US" w:eastAsia="zh-CN"/>
        </w:rPr>
        <w:t>市教育局以区域为单位，组建11支家庭教育讲师团，为全市中小学校、街道社区家庭教育工作站等提供送教上门和点单式讲座，2024年全年开展1514场公益巡讲，其中通过市级福彩公益金资助项目——“苏州市家庭教育指导进社区”活动，设计400节家庭教育系列课程，送入全市基层家庭教育指导服务站点，实现线上线下、立体循环的资源整合；邀请国内知名家庭教育专家，以“家庭教育名家大讲堂”“苏州家话沙龙”形式宣传最新的家庭教育知识和理念，10场讲座（沙龙）23.68万家长收听收看。依托家庭教育志愿服务团队，开展形式多样的公益服务：2024年1月27日开通24小时学生、家长心理援助热线以来，接听热线电话6776个；开展家长团体辅导519场，现场咨询197场，接待面询家长5325人次。升级改造线上家长学习平台，“家长学堂”小程序上线，免费提供包括体系化课程、主题化音视频课程在内的近3401个学习资源；每周提供家庭教育微视频。推出由优秀“林老师”“家庭教育指导师”就“孩子因与同伴矛盾而产生拒学情绪”等家长育儿过程中遇到的小问题小情景进行指导的微视频，每周六日和法定节日通过“苏州教育”视频号播出，2024年共播出105期。每天定时更新“苏州中小学心理健康与家庭教育”（苏州市网上家长学校）微信公众号，在寒暑假、开学、考试等重要时间节点，向家长提供专题性的指导内容，2024年全年推送文章374篇，累计阅读人次26万余。全市中小学校利用校级家长学校、校园开放日、家长会等渠道，常态化开展家庭教育指导活动；利用校园网、学校微信公众号、班级群等媒介，打造线上学习空间，宣传普及家庭教育知识和理念，提升家长的家庭教育意识。</w:t>
      </w:r>
    </w:p>
    <w:p w14:paraId="6FB86A34">
      <w:pPr>
        <w:pStyle w:val="20"/>
        <w:bidi w:val="0"/>
        <w:rPr>
          <w:rFonts w:hint="eastAsia"/>
          <w:lang w:val="en-US" w:eastAsia="zh-CN"/>
        </w:rPr>
      </w:pPr>
      <w:r>
        <w:rPr>
          <w:rFonts w:hint="eastAsia"/>
          <w:lang w:val="en-US" w:eastAsia="zh-CN"/>
        </w:rPr>
        <w:t>四、密切家校联系合作</w:t>
      </w:r>
    </w:p>
    <w:p w14:paraId="26185090">
      <w:pPr>
        <w:pStyle w:val="16"/>
        <w:bidi w:val="0"/>
        <w:rPr>
          <w:rFonts w:hint="eastAsia"/>
          <w:lang w:val="en-US" w:eastAsia="zh-CN"/>
        </w:rPr>
      </w:pPr>
      <w:r>
        <w:rPr>
          <w:rFonts w:hint="eastAsia"/>
          <w:lang w:val="en-US" w:eastAsia="zh-CN"/>
        </w:rPr>
        <w:t>2021年9月6日，联合市妇联出台《关于进一步加强全市中小学家访工作的指导意见》，构建“线上线下互联、教师全员参与、妇联干部联合、覆盖所有家庭、关注特殊群体”的家访工作新格局，努力形成家、校、社三方育人合力。11月11日，市政府召开全市护航青少年成长暨家访工作推进会，市教育局会同市妇联就推进家访工作进行了具体部署，并持续推进“万人访万家”家访系列活动，覆盖全市中小学生家庭。对摸排出的特殊家庭学生，及时发现、重点关注，开展个别谈心谈话，给予关心帮助，及时完善档案信息并制定针对性干预方案</w:t>
      </w:r>
      <w:r>
        <w:rPr>
          <w:rFonts w:hint="eastAsia"/>
        </w:rPr>
        <w:t>。</w:t>
      </w:r>
    </w:p>
    <w:p w14:paraId="5ADC3894">
      <w:pPr>
        <w:pStyle w:val="20"/>
        <w:bidi w:val="0"/>
        <w:rPr>
          <w:rFonts w:hint="eastAsia"/>
          <w:lang w:val="en-US" w:eastAsia="zh-CN"/>
        </w:rPr>
      </w:pPr>
      <w:r>
        <w:rPr>
          <w:rFonts w:hint="eastAsia"/>
          <w:lang w:val="en-US" w:eastAsia="zh-CN"/>
        </w:rPr>
        <w:t>五、联动相关职能部门</w:t>
      </w:r>
    </w:p>
    <w:p w14:paraId="1F542C65">
      <w:pPr>
        <w:pStyle w:val="16"/>
        <w:bidi w:val="0"/>
        <w:rPr>
          <w:rFonts w:hint="default"/>
          <w:lang w:val="en-US" w:eastAsia="zh-CN"/>
        </w:rPr>
      </w:pPr>
      <w:r>
        <w:rPr>
          <w:rFonts w:hint="eastAsia"/>
          <w:lang w:val="en-US" w:eastAsia="zh-CN"/>
        </w:rPr>
        <w:t>与苏州市文明办合作推出“家在苏州·e路成长”社会实践活动项目，整合社会优质的教育资源，推出165家体验站，助力学生参与社会实践活动。与市广电总台从2017年起合作，持续推出“潮爸辣妈”“名师有话说”“‘林老师’家访”“成长不烦恼”“让爱住我家”等直播节目400集，2024年又推出全新栏目“你听见了么？”，每两周一次进行直播，传播家庭教育先进理念。与市民政局、市公安局等协同开展特殊困境儿童群体家庭教育支持服务。与网信、公安、国安等强化信息互通共享，加强对学生自杀事件相关预警信息的网络监测。与市图书馆联合组建“苏州市亲子家庭阅读指导联盟”，推出“校长说阅读”“父母学堂”系列活动。联合出台《关于在涉未成年案件中开展家庭教育指导工作的实施意见（试行）》，推动涉案未成年人家庭教育指导工作机制建设。联合妇联、检察机关建立“V+”家庭教育联动协作机制，依托检察机关未成年人“一站式”办案中心积极探索“末梢摸排+司法介入+综合指导”工作架构。同时，积极探索驻校社工制度，与民政部门推动“驻校社工”工作，2024年“驻校社工”心理健康服务项目列入苏州市政府民生实事项目，给予790万元专项经费保障，在全市90所学校试点开展“一校一社工”。太仓市于2023年已率先在全省实现初高中学校“一校一社工”全覆盖建设目标，并获评2024年中国基础教育创新案例。</w:t>
      </w:r>
    </w:p>
    <w:p w14:paraId="766DFCCE">
      <w:pPr>
        <w:pStyle w:val="16"/>
        <w:bidi w:val="0"/>
        <w:rPr>
          <w:rFonts w:hint="eastAsia"/>
          <w:lang w:val="en-US" w:eastAsia="zh-CN"/>
        </w:rPr>
      </w:pPr>
      <w:r>
        <w:rPr>
          <w:rFonts w:hint="eastAsia"/>
          <w:lang w:val="en-US" w:eastAsia="zh-CN"/>
        </w:rPr>
        <w:t>2025年，我们将进一步增强与卫健、公安、司法等单位间的横向协同，完善学校积极主导、家庭主动尽责、社会有效支持的协同育人机制。进一步梳理家长在亲子教育方面的突出问题，开展精准化的家庭教育指导，全面缓解、化解诱发极端行为的各类家庭潜在因素，让家校同向同行、形成合力。进一步推进家访工作，全面掌握学生思想状况和家庭情况，鼓励发动专业社工、志愿者等义务深入家庭开展家庭教育指导支持，引导家长树立正确的教育观，落实监护责任。</w:t>
      </w:r>
    </w:p>
    <w:p w14:paraId="335DAB06">
      <w:pPr>
        <w:pStyle w:val="16"/>
        <w:bidi w:val="0"/>
      </w:pPr>
    </w:p>
    <w:p w14:paraId="1DB82B9F">
      <w:pPr>
        <w:ind w:firstLine="640" w:firstLineChars="200"/>
        <w:rPr>
          <w:rFonts w:ascii="仿宋" w:hAnsi="仿宋" w:eastAsia="仿宋"/>
          <w:sz w:val="32"/>
          <w:szCs w:val="32"/>
        </w:rPr>
      </w:pPr>
    </w:p>
    <w:p w14:paraId="049B5969">
      <w:pPr>
        <w:ind w:firstLine="640" w:firstLineChars="200"/>
        <w:rPr>
          <w:rFonts w:ascii="仿宋" w:hAnsi="仿宋" w:eastAsia="仿宋"/>
          <w:sz w:val="32"/>
          <w:szCs w:val="32"/>
        </w:rPr>
      </w:pPr>
    </w:p>
    <w:p w14:paraId="3BFB46F8">
      <w:pPr>
        <w:wordWrap w:val="0"/>
        <w:ind w:right="1260" w:rightChars="600"/>
        <w:jc w:val="right"/>
        <w:rPr>
          <w:rFonts w:ascii="仿宋" w:hAnsi="仿宋" w:eastAsia="仿宋"/>
          <w:sz w:val="32"/>
          <w:szCs w:val="32"/>
        </w:rPr>
      </w:pPr>
      <w:r>
        <w:rPr>
          <w:rFonts w:ascii="仿宋" w:hAnsi="仿宋" w:eastAsia="仿宋"/>
          <w:sz w:val="32"/>
          <w:szCs w:val="32"/>
        </w:rPr>
        <w:t>苏州市教育局</w:t>
      </w:r>
    </w:p>
    <w:p w14:paraId="1E04691A">
      <w:pPr>
        <w:ind w:right="840" w:rightChars="400"/>
        <w:jc w:val="right"/>
        <w:rPr>
          <w:rFonts w:ascii="仿宋" w:hAnsi="仿宋" w:eastAsia="仿宋"/>
          <w:sz w:val="32"/>
          <w:szCs w:val="32"/>
        </w:rPr>
      </w:pPr>
      <w:r>
        <w:rPr>
          <w:rFonts w:hint="eastAsia" w:ascii="仿宋" w:hAnsi="仿宋" w:eastAsia="仿宋"/>
          <w:sz w:val="32"/>
          <w:szCs w:val="32"/>
          <w:lang w:eastAsia="zh-CN"/>
        </w:rPr>
        <w:t>2025</w:t>
      </w:r>
      <w:r>
        <w:rPr>
          <w:rFonts w:ascii="仿宋" w:hAnsi="仿宋" w:eastAsia="仿宋"/>
          <w:sz w:val="32"/>
          <w:szCs w:val="32"/>
        </w:rPr>
        <w:t>年</w:t>
      </w:r>
      <w:r>
        <w:rPr>
          <w:rFonts w:hint="eastAsia" w:ascii="仿宋" w:hAnsi="仿宋" w:eastAsia="仿宋"/>
          <w:sz w:val="32"/>
          <w:szCs w:val="32"/>
          <w:lang w:val="en-US" w:eastAsia="zh-CN"/>
        </w:rPr>
        <w:t>6</w:t>
      </w:r>
      <w:r>
        <w:rPr>
          <w:rFonts w:ascii="仿宋" w:hAnsi="仿宋" w:eastAsia="仿宋"/>
          <w:sz w:val="32"/>
          <w:szCs w:val="32"/>
        </w:rPr>
        <w:t>月</w:t>
      </w:r>
      <w:r>
        <w:rPr>
          <w:rFonts w:hint="eastAsia" w:ascii="仿宋" w:hAnsi="仿宋" w:eastAsia="仿宋"/>
          <w:sz w:val="32"/>
          <w:szCs w:val="32"/>
          <w:lang w:val="en-US" w:eastAsia="zh-CN"/>
        </w:rPr>
        <w:t>26</w:t>
      </w:r>
      <w:r>
        <w:rPr>
          <w:rFonts w:ascii="仿宋" w:hAnsi="仿宋" w:eastAsia="仿宋"/>
          <w:sz w:val="32"/>
          <w:szCs w:val="32"/>
        </w:rPr>
        <w:t>日</w:t>
      </w:r>
    </w:p>
    <w:p w14:paraId="70E2C071">
      <w:pPr>
        <w:rPr>
          <w:rFonts w:ascii="仿宋" w:hAnsi="仿宋" w:eastAsia="仿宋"/>
          <w:sz w:val="32"/>
          <w:szCs w:val="32"/>
        </w:rPr>
      </w:pPr>
    </w:p>
    <w:p w14:paraId="22B26C12">
      <w:pPr>
        <w:rPr>
          <w:rFonts w:ascii="仿宋" w:hAnsi="仿宋" w:eastAsia="仿宋"/>
          <w:sz w:val="32"/>
          <w:szCs w:val="32"/>
        </w:rPr>
      </w:pPr>
    </w:p>
    <w:p w14:paraId="6419B98F">
      <w:pPr>
        <w:rPr>
          <w:rFonts w:ascii="仿宋" w:hAnsi="仿宋" w:eastAsia="仿宋"/>
          <w:sz w:val="32"/>
          <w:szCs w:val="32"/>
        </w:rPr>
      </w:pPr>
    </w:p>
    <w:p w14:paraId="7CD6CC2B">
      <w:pPr>
        <w:rPr>
          <w:rFonts w:ascii="仿宋" w:hAnsi="仿宋" w:eastAsia="仿宋"/>
          <w:sz w:val="32"/>
          <w:szCs w:val="32"/>
        </w:rPr>
      </w:pPr>
    </w:p>
    <w:p w14:paraId="7805C233">
      <w:pPr>
        <w:rPr>
          <w:rFonts w:ascii="仿宋" w:hAnsi="仿宋" w:eastAsia="仿宋"/>
          <w:sz w:val="32"/>
          <w:szCs w:val="32"/>
        </w:rPr>
      </w:pPr>
    </w:p>
    <w:p w14:paraId="7E5F77A1">
      <w:pPr>
        <w:rPr>
          <w:rFonts w:ascii="仿宋" w:hAnsi="仿宋" w:eastAsia="仿宋"/>
          <w:sz w:val="32"/>
          <w:szCs w:val="32"/>
        </w:rPr>
      </w:pPr>
    </w:p>
    <w:p w14:paraId="317DF5B1">
      <w:pPr>
        <w:rPr>
          <w:rFonts w:ascii="仿宋" w:hAnsi="仿宋" w:eastAsia="仿宋"/>
          <w:sz w:val="32"/>
          <w:szCs w:val="32"/>
        </w:rPr>
      </w:pPr>
    </w:p>
    <w:p w14:paraId="49B955C3">
      <w:pPr>
        <w:rPr>
          <w:rFonts w:ascii="仿宋" w:hAnsi="仿宋" w:eastAsia="仿宋"/>
          <w:sz w:val="32"/>
          <w:szCs w:val="32"/>
        </w:rPr>
      </w:pPr>
    </w:p>
    <w:p w14:paraId="2833C339">
      <w:pPr>
        <w:rPr>
          <w:rFonts w:ascii="仿宋" w:hAnsi="仿宋" w:eastAsia="仿宋"/>
          <w:sz w:val="32"/>
          <w:szCs w:val="32"/>
        </w:rPr>
      </w:pPr>
    </w:p>
    <w:p w14:paraId="50CF1683">
      <w:pPr>
        <w:rPr>
          <w:rFonts w:ascii="仿宋" w:hAnsi="仿宋" w:eastAsia="仿宋"/>
          <w:sz w:val="32"/>
          <w:szCs w:val="32"/>
        </w:rPr>
      </w:pPr>
    </w:p>
    <w:p w14:paraId="582B5D75">
      <w:pPr>
        <w:rPr>
          <w:rFonts w:ascii="仿宋" w:hAnsi="仿宋" w:eastAsia="仿宋"/>
          <w:sz w:val="32"/>
          <w:szCs w:val="32"/>
        </w:rPr>
      </w:pPr>
    </w:p>
    <w:p w14:paraId="61D53115">
      <w:pPr>
        <w:rPr>
          <w:rFonts w:ascii="仿宋" w:hAnsi="仿宋" w:eastAsia="仿宋"/>
          <w:sz w:val="32"/>
          <w:szCs w:val="32"/>
        </w:rPr>
      </w:pPr>
    </w:p>
    <w:p w14:paraId="4B627FA8">
      <w:pPr>
        <w:pStyle w:val="16"/>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eastAsia="仿宋"/>
          <w:lang w:eastAsia="zh-CN"/>
        </w:rPr>
      </w:pPr>
      <w:r>
        <w:rPr>
          <w:rFonts w:hint="eastAsia"/>
        </w:rPr>
        <w:t>联系人姓名：</w:t>
      </w:r>
      <w:r>
        <w:rPr>
          <w:rFonts w:hint="eastAsia"/>
          <w:lang w:eastAsia="zh-CN"/>
        </w:rPr>
        <w:t>王双全</w:t>
      </w:r>
    </w:p>
    <w:p w14:paraId="17B20830">
      <w:pPr>
        <w:pStyle w:val="16"/>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cs="Times New Roman"/>
          <w:lang w:eastAsia="zh-CN"/>
        </w:rPr>
      </w:pPr>
      <w:r>
        <w:rPr>
          <w:rFonts w:hint="eastAsia" w:cs="Times New Roman"/>
          <w:lang w:eastAsia="zh-CN"/>
        </w:rPr>
        <w:t>联 系 电话：</w:t>
      </w:r>
      <w:r>
        <w:rPr>
          <w:rFonts w:hint="eastAsia" w:cs="Times New Roman"/>
          <w:lang w:val="en-US" w:eastAsia="zh-CN"/>
        </w:rPr>
        <w:t>65103680</w:t>
      </w:r>
    </w:p>
    <w:p w14:paraId="3A641B69">
      <w:pPr>
        <w:pStyle w:val="16"/>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Times New Roman" w:eastAsia="仿宋"/>
          <w:color w:val="0000FF"/>
          <w:sz w:val="32"/>
          <w:szCs w:val="32"/>
          <w:lang w:eastAsia="zh-CN"/>
        </w:rPr>
      </w:pPr>
      <w:r>
        <w:rPr>
          <w:rFonts w:hint="eastAsia"/>
        </w:rPr>
        <w:t>抄</w:t>
      </w:r>
      <w:bookmarkStart w:id="0" w:name="_GoBack"/>
      <w:bookmarkEnd w:id="0"/>
      <w:r>
        <w:rPr>
          <w:rFonts w:hint="eastAsia"/>
        </w:rPr>
        <w:t>送：市政府办公室、市政协提案委</w:t>
      </w:r>
      <w:r>
        <w:rPr>
          <w:rFonts w:hint="eastAsia"/>
          <w:lang w:eastAsia="zh-CN"/>
        </w:rPr>
        <w:t>、市卫健委、市民政局</w:t>
      </w:r>
    </w:p>
    <w:sectPr>
      <w:headerReference r:id="rId3" w:type="first"/>
      <w:footerReference r:id="rId6" w:type="first"/>
      <w:footerReference r:id="rId4" w:type="default"/>
      <w:footerReference r:id="rId5" w:type="even"/>
      <w:pgSz w:w="11907" w:h="16840"/>
      <w:pgMar w:top="1928" w:right="1417" w:bottom="1928" w:left="1417" w:header="851" w:footer="1418" w:gutter="227"/>
      <w:pgNumType w:fmt="numberInDash"/>
      <w:cols w:space="720" w:num="1"/>
      <w:docGrid w:type="lines" w:linePitch="57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2FF" w:usb1="400004FF" w:usb2="00000000" w:usb3="00000000" w:csb0="2000019F" w:csb1="00000000"/>
  </w:font>
  <w:font w:name="楷体">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Verdana">
    <w:panose1 w:val="020B0604030504040204"/>
    <w:charset w:val="00"/>
    <w:family w:val="swiss"/>
    <w:pitch w:val="default"/>
    <w:sig w:usb0="A10006FF" w:usb1="4000205B" w:usb2="00000010" w:usb3="00000000" w:csb0="2000019F" w:csb1="00000000"/>
  </w:font>
  <w:font w:name="楷体_GB2312">
    <w:panose1 w:val="02010609030101010101"/>
    <w:charset w:val="86"/>
    <w:family w:val="modern"/>
    <w:pitch w:val="default"/>
    <w:sig w:usb0="00000001" w:usb1="080E0000" w:usb2="00000000" w:usb3="00000000" w:csb0="00040000" w:csb1="00000000"/>
  </w:font>
  <w:font w:name="Calibri;DejaVu Sans">
    <w:altName w:val="方正全福体"/>
    <w:panose1 w:val="00000000000000000000"/>
    <w:charset w:val="00"/>
    <w:family w:val="auto"/>
    <w:pitch w:val="default"/>
    <w:sig w:usb0="00000000" w:usb1="00000000" w:usb2="00000000" w:usb3="00000000" w:csb0="00040001" w:csb1="00000000"/>
  </w:font>
  <w:font w:name="方正全福体">
    <w:panose1 w:val="020005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24A162">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9D1ADFA">
                          <w:pPr>
                            <w:pStyle w:val="4"/>
                            <w:keepNext w:val="0"/>
                            <w:keepLines w:val="0"/>
                            <w:pageBreakBefore w:val="0"/>
                            <w:widowControl w:val="0"/>
                            <w:kinsoku/>
                            <w:wordWrap/>
                            <w:overflowPunct/>
                            <w:topLinePunct w:val="0"/>
                            <w:bidi w:val="0"/>
                            <w:adjustRightInd/>
                            <w:snapToGrid w:val="0"/>
                            <w:ind w:left="420" w:leftChars="200" w:right="420" w:rightChars="200"/>
                            <w:textAlignment w:val="auto"/>
                            <w:rPr>
                              <w:rStyle w:val="11"/>
                              <w:rFonts w:ascii="宋体" w:hAnsi="宋体" w:eastAsia="宋体"/>
                              <w:sz w:val="28"/>
                              <w:szCs w:val="28"/>
                            </w:rPr>
                          </w:pPr>
                          <w:r>
                            <w:rPr>
                              <w:rFonts w:ascii="宋体" w:hAnsi="宋体" w:eastAsia="宋体"/>
                              <w:sz w:val="28"/>
                              <w:szCs w:val="28"/>
                            </w:rPr>
                            <w:fldChar w:fldCharType="begin"/>
                          </w:r>
                          <w:r>
                            <w:rPr>
                              <w:rStyle w:val="11"/>
                              <w:rFonts w:ascii="宋体" w:hAnsi="宋体" w:eastAsia="宋体"/>
                              <w:sz w:val="28"/>
                              <w:szCs w:val="28"/>
                            </w:rPr>
                            <w:instrText xml:space="preserve">PAGE  </w:instrText>
                          </w:r>
                          <w:r>
                            <w:rPr>
                              <w:rFonts w:ascii="宋体" w:hAnsi="宋体" w:eastAsia="宋体"/>
                              <w:sz w:val="28"/>
                              <w:szCs w:val="28"/>
                            </w:rPr>
                            <w:fldChar w:fldCharType="separate"/>
                          </w:r>
                          <w:r>
                            <w:rPr>
                              <w:rStyle w:val="11"/>
                              <w:rFonts w:ascii="宋体" w:hAnsi="宋体" w:eastAsia="宋体"/>
                              <w:sz w:val="28"/>
                              <w:szCs w:val="28"/>
                            </w:rPr>
                            <w:t>- 2 -</w:t>
                          </w:r>
                          <w:r>
                            <w:rPr>
                              <w:rFonts w:ascii="宋体" w:hAnsi="宋体" w:eastAsia="宋体"/>
                              <w:sz w:val="28"/>
                              <w:szCs w:val="28"/>
                            </w:rPr>
                            <w:fldChar w:fldCharType="end"/>
                          </w:r>
                        </w:p>
                      </w:txbxContent>
                    </wps:txbx>
                    <wps:bodyPr vert="horz" wrap="none" lIns="0" tIns="0" rIns="0" bIns="0" anchor="t" anchorCtr="0" upright="0">
                      <a:spAutoFit/>
                    </wps:bodyPr>
                  </wps:wsp>
                </a:graphicData>
              </a:graphic>
            </wp:anchor>
          </w:drawing>
        </mc:Choice>
        <mc:Fallback>
          <w:pict>
            <v:shape id="文本框 1"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Jom5dHdAQAAvgMAAA4AAAAAAAAA&#10;AQAgAAAAHgEAAGRycy9lMm9Eb2MueG1sUEsFBgAAAAAGAAYAWQEAAG0FAAAAAA==&#10;">
              <v:fill on="f" focussize="0,0"/>
              <v:stroke on="f"/>
              <v:imagedata o:title=""/>
              <o:lock v:ext="edit" aspectratio="f"/>
              <v:textbox inset="0mm,0mm,0mm,0mm" style="mso-fit-shape-to-text:t;">
                <w:txbxContent>
                  <w:p w14:paraId="29D1ADFA">
                    <w:pPr>
                      <w:pStyle w:val="4"/>
                      <w:keepNext w:val="0"/>
                      <w:keepLines w:val="0"/>
                      <w:pageBreakBefore w:val="0"/>
                      <w:widowControl w:val="0"/>
                      <w:kinsoku/>
                      <w:wordWrap/>
                      <w:overflowPunct/>
                      <w:topLinePunct w:val="0"/>
                      <w:bidi w:val="0"/>
                      <w:adjustRightInd/>
                      <w:snapToGrid w:val="0"/>
                      <w:ind w:left="420" w:leftChars="200" w:right="420" w:rightChars="200"/>
                      <w:textAlignment w:val="auto"/>
                      <w:rPr>
                        <w:rStyle w:val="11"/>
                        <w:rFonts w:ascii="宋体" w:hAnsi="宋体" w:eastAsia="宋体"/>
                        <w:sz w:val="28"/>
                        <w:szCs w:val="28"/>
                      </w:rPr>
                    </w:pPr>
                    <w:r>
                      <w:rPr>
                        <w:rFonts w:ascii="宋体" w:hAnsi="宋体" w:eastAsia="宋体"/>
                        <w:sz w:val="28"/>
                        <w:szCs w:val="28"/>
                      </w:rPr>
                      <w:fldChar w:fldCharType="begin"/>
                    </w:r>
                    <w:r>
                      <w:rPr>
                        <w:rStyle w:val="11"/>
                        <w:rFonts w:ascii="宋体" w:hAnsi="宋体" w:eastAsia="宋体"/>
                        <w:sz w:val="28"/>
                        <w:szCs w:val="28"/>
                      </w:rPr>
                      <w:instrText xml:space="preserve">PAGE  </w:instrText>
                    </w:r>
                    <w:r>
                      <w:rPr>
                        <w:rFonts w:ascii="宋体" w:hAnsi="宋体" w:eastAsia="宋体"/>
                        <w:sz w:val="28"/>
                        <w:szCs w:val="28"/>
                      </w:rPr>
                      <w:fldChar w:fldCharType="separate"/>
                    </w:r>
                    <w:r>
                      <w:rPr>
                        <w:rStyle w:val="11"/>
                        <w:rFonts w:ascii="宋体" w:hAnsi="宋体" w:eastAsia="宋体"/>
                        <w:sz w:val="28"/>
                        <w:szCs w:val="28"/>
                      </w:rPr>
                      <w:t>- 2 -</w:t>
                    </w:r>
                    <w:r>
                      <w:rPr>
                        <w:rFonts w:ascii="宋体" w:hAnsi="宋体" w:eastAsia="宋体"/>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C548D0">
    <w:pPr>
      <w:pStyle w:val="4"/>
      <w:framePr w:wrap="around" w:vAnchor="text" w:hAnchor="margin" w:xAlign="center" w:y="1"/>
      <w:rPr>
        <w:rStyle w:val="11"/>
        <w:rFonts w:ascii="宋体" w:hAnsi="宋体" w:eastAsia="宋体"/>
        <w:sz w:val="28"/>
        <w:szCs w:val="28"/>
      </w:rPr>
    </w:pPr>
    <w:r>
      <w:rPr>
        <w:rFonts w:ascii="宋体" w:hAnsi="宋体" w:eastAsia="宋体"/>
        <w:sz w:val="28"/>
        <w:szCs w:val="28"/>
      </w:rPr>
      <w:fldChar w:fldCharType="begin"/>
    </w:r>
    <w:r>
      <w:rPr>
        <w:rStyle w:val="11"/>
        <w:rFonts w:ascii="宋体" w:hAnsi="宋体" w:eastAsia="宋体"/>
        <w:sz w:val="28"/>
        <w:szCs w:val="28"/>
      </w:rPr>
      <w:instrText xml:space="preserve">PAGE  </w:instrText>
    </w:r>
    <w:r>
      <w:rPr>
        <w:rFonts w:ascii="宋体" w:hAnsi="宋体" w:eastAsia="宋体"/>
        <w:sz w:val="28"/>
        <w:szCs w:val="28"/>
      </w:rPr>
      <w:fldChar w:fldCharType="separate"/>
    </w:r>
    <w:r>
      <w:rPr>
        <w:rStyle w:val="11"/>
        <w:rFonts w:ascii="宋体" w:hAnsi="宋体" w:eastAsia="宋体"/>
        <w:sz w:val="28"/>
        <w:szCs w:val="28"/>
        <w:lang/>
      </w:rPr>
      <w:t>- 2 -</w:t>
    </w:r>
    <w:r>
      <w:rPr>
        <w:rFonts w:ascii="宋体" w:hAnsi="宋体" w:eastAsia="宋体"/>
        <w:sz w:val="28"/>
        <w:szCs w:val="28"/>
      </w:rPr>
      <w:fldChar w:fldCharType="end"/>
    </w:r>
  </w:p>
  <w:p w14:paraId="1AD4C2DB">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45DB93">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38CA9E">
    <w:pPr>
      <w:pStyle w:val="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8"/>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nforcement="0"/>
  <w:defaultTabStop w:val="425"/>
  <w:hyphenationZone w:val="360"/>
  <w:drawingGridHorizontalSpacing w:val="105"/>
  <w:drawingGridVerticalSpacing w:val="579"/>
  <w:displayHorizontalDrawingGridEvery w:val="0"/>
  <w:displayVerticalDrawingGridEvery w:val="1"/>
  <w:characterSpacingControl w:val="compressPunctuation"/>
  <w:hdrShapeDefaults>
    <o:shapelayout v:ext="edit">
      <o:idmap v:ext="edit" data="2"/>
    </o:shapelayout>
  </w:hdrShapeDefaults>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g3YTJjMjUwZGEyZjJiODFhMTlhYmEzNjdhOWVlZTUifQ=="/>
  </w:docVars>
  <w:rsids>
    <w:rsidRoot w:val="719D10CB"/>
    <w:rsid w:val="00045292"/>
    <w:rsid w:val="000803F5"/>
    <w:rsid w:val="00082101"/>
    <w:rsid w:val="000B622A"/>
    <w:rsid w:val="000C204F"/>
    <w:rsid w:val="000C3B70"/>
    <w:rsid w:val="001015E8"/>
    <w:rsid w:val="00113B13"/>
    <w:rsid w:val="001244D7"/>
    <w:rsid w:val="00127206"/>
    <w:rsid w:val="0013613B"/>
    <w:rsid w:val="00136994"/>
    <w:rsid w:val="00155558"/>
    <w:rsid w:val="00170750"/>
    <w:rsid w:val="001B4BB5"/>
    <w:rsid w:val="001E1A7A"/>
    <w:rsid w:val="001F4FDA"/>
    <w:rsid w:val="001F6740"/>
    <w:rsid w:val="00205064"/>
    <w:rsid w:val="00224806"/>
    <w:rsid w:val="00271781"/>
    <w:rsid w:val="00275F81"/>
    <w:rsid w:val="00284939"/>
    <w:rsid w:val="002B484F"/>
    <w:rsid w:val="002B72F5"/>
    <w:rsid w:val="002C01D3"/>
    <w:rsid w:val="002C1244"/>
    <w:rsid w:val="002C53F0"/>
    <w:rsid w:val="002E56A4"/>
    <w:rsid w:val="002E7B43"/>
    <w:rsid w:val="002F5677"/>
    <w:rsid w:val="003109A8"/>
    <w:rsid w:val="003168B0"/>
    <w:rsid w:val="00322EAE"/>
    <w:rsid w:val="00331D07"/>
    <w:rsid w:val="003322F1"/>
    <w:rsid w:val="00351D37"/>
    <w:rsid w:val="00363833"/>
    <w:rsid w:val="0038526F"/>
    <w:rsid w:val="00390A7B"/>
    <w:rsid w:val="00391B10"/>
    <w:rsid w:val="003C316A"/>
    <w:rsid w:val="003E16C4"/>
    <w:rsid w:val="003F3FD2"/>
    <w:rsid w:val="004076DD"/>
    <w:rsid w:val="0042736D"/>
    <w:rsid w:val="00455C99"/>
    <w:rsid w:val="00463FE2"/>
    <w:rsid w:val="004852FE"/>
    <w:rsid w:val="00490EB1"/>
    <w:rsid w:val="0049110A"/>
    <w:rsid w:val="00495309"/>
    <w:rsid w:val="004A2E29"/>
    <w:rsid w:val="004B2169"/>
    <w:rsid w:val="004B618A"/>
    <w:rsid w:val="004B626E"/>
    <w:rsid w:val="004C5FC4"/>
    <w:rsid w:val="004E4E36"/>
    <w:rsid w:val="004F0BF4"/>
    <w:rsid w:val="004F67D6"/>
    <w:rsid w:val="004F6DCA"/>
    <w:rsid w:val="00525143"/>
    <w:rsid w:val="00545DC4"/>
    <w:rsid w:val="00554CA5"/>
    <w:rsid w:val="0055512D"/>
    <w:rsid w:val="005568DE"/>
    <w:rsid w:val="00560E55"/>
    <w:rsid w:val="00582D09"/>
    <w:rsid w:val="0058530A"/>
    <w:rsid w:val="005A2FA0"/>
    <w:rsid w:val="005A5E4F"/>
    <w:rsid w:val="005C2E4F"/>
    <w:rsid w:val="005D6720"/>
    <w:rsid w:val="005D7665"/>
    <w:rsid w:val="0060470C"/>
    <w:rsid w:val="006151D5"/>
    <w:rsid w:val="0064078C"/>
    <w:rsid w:val="006721B8"/>
    <w:rsid w:val="00692AEB"/>
    <w:rsid w:val="006A7E9C"/>
    <w:rsid w:val="006B33F9"/>
    <w:rsid w:val="006B58E2"/>
    <w:rsid w:val="006C3ADF"/>
    <w:rsid w:val="006E1B4A"/>
    <w:rsid w:val="006E66A1"/>
    <w:rsid w:val="006F6DF7"/>
    <w:rsid w:val="00724B7A"/>
    <w:rsid w:val="007316E9"/>
    <w:rsid w:val="00741B66"/>
    <w:rsid w:val="0075124D"/>
    <w:rsid w:val="007863ED"/>
    <w:rsid w:val="007A519A"/>
    <w:rsid w:val="008144A5"/>
    <w:rsid w:val="00815BDF"/>
    <w:rsid w:val="00817FA3"/>
    <w:rsid w:val="00851202"/>
    <w:rsid w:val="00867029"/>
    <w:rsid w:val="00872179"/>
    <w:rsid w:val="00876921"/>
    <w:rsid w:val="00892BFD"/>
    <w:rsid w:val="00895067"/>
    <w:rsid w:val="008B50C4"/>
    <w:rsid w:val="008D5EF8"/>
    <w:rsid w:val="00921922"/>
    <w:rsid w:val="009270C5"/>
    <w:rsid w:val="00933378"/>
    <w:rsid w:val="009569E0"/>
    <w:rsid w:val="00961CE0"/>
    <w:rsid w:val="009636EF"/>
    <w:rsid w:val="00967F5A"/>
    <w:rsid w:val="0097493F"/>
    <w:rsid w:val="00981264"/>
    <w:rsid w:val="00990029"/>
    <w:rsid w:val="00991C72"/>
    <w:rsid w:val="00993E5D"/>
    <w:rsid w:val="009A2D78"/>
    <w:rsid w:val="009A3748"/>
    <w:rsid w:val="009A5576"/>
    <w:rsid w:val="009C39E3"/>
    <w:rsid w:val="009C4710"/>
    <w:rsid w:val="009D0535"/>
    <w:rsid w:val="00A41F29"/>
    <w:rsid w:val="00A536CF"/>
    <w:rsid w:val="00AC37A4"/>
    <w:rsid w:val="00AD4CC3"/>
    <w:rsid w:val="00AF4EB8"/>
    <w:rsid w:val="00B32A2E"/>
    <w:rsid w:val="00B70DA9"/>
    <w:rsid w:val="00B75AC5"/>
    <w:rsid w:val="00B76435"/>
    <w:rsid w:val="00B76FE1"/>
    <w:rsid w:val="00B871A7"/>
    <w:rsid w:val="00B90A4D"/>
    <w:rsid w:val="00B91DE4"/>
    <w:rsid w:val="00B95A09"/>
    <w:rsid w:val="00BA14C3"/>
    <w:rsid w:val="00BA572C"/>
    <w:rsid w:val="00BC0400"/>
    <w:rsid w:val="00BE0B14"/>
    <w:rsid w:val="00BF60FA"/>
    <w:rsid w:val="00C420CA"/>
    <w:rsid w:val="00C615D1"/>
    <w:rsid w:val="00C639B3"/>
    <w:rsid w:val="00CA6EE0"/>
    <w:rsid w:val="00CF0B21"/>
    <w:rsid w:val="00D00FA6"/>
    <w:rsid w:val="00D26435"/>
    <w:rsid w:val="00D26FBE"/>
    <w:rsid w:val="00D33255"/>
    <w:rsid w:val="00D4233D"/>
    <w:rsid w:val="00D44547"/>
    <w:rsid w:val="00D86564"/>
    <w:rsid w:val="00D86D96"/>
    <w:rsid w:val="00DA041F"/>
    <w:rsid w:val="00DB4DB1"/>
    <w:rsid w:val="00DE1A7E"/>
    <w:rsid w:val="00DF6C3A"/>
    <w:rsid w:val="00E066BB"/>
    <w:rsid w:val="00E17777"/>
    <w:rsid w:val="00E601FE"/>
    <w:rsid w:val="00E619F2"/>
    <w:rsid w:val="00E72A34"/>
    <w:rsid w:val="00E83AD3"/>
    <w:rsid w:val="00E95041"/>
    <w:rsid w:val="00EE6E7A"/>
    <w:rsid w:val="00F33872"/>
    <w:rsid w:val="00F33CA6"/>
    <w:rsid w:val="00F52DA0"/>
    <w:rsid w:val="00FD11C0"/>
    <w:rsid w:val="049B5201"/>
    <w:rsid w:val="0AD82C3E"/>
    <w:rsid w:val="0FFF2ACC"/>
    <w:rsid w:val="101A2ED3"/>
    <w:rsid w:val="20E62BD1"/>
    <w:rsid w:val="21486514"/>
    <w:rsid w:val="25AD6DA4"/>
    <w:rsid w:val="294F1BAF"/>
    <w:rsid w:val="2CFF3CE2"/>
    <w:rsid w:val="49E46575"/>
    <w:rsid w:val="4BEB6189"/>
    <w:rsid w:val="54542900"/>
    <w:rsid w:val="61A7456F"/>
    <w:rsid w:val="61CD07DD"/>
    <w:rsid w:val="719D10CB"/>
    <w:rsid w:val="751065EC"/>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unhideWhenUsed="0" w:uiPriority="0" w:semiHidden="0" w:name="header"/>
    <w:lsdException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semiHidden="0"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99" w:semiHidden="0"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_GB2312" w:eastAsia="仿宋_GB2312"/>
      <w:kern w:val="2"/>
      <w:sz w:val="21"/>
      <w:lang w:val="en-US" w:eastAsia="zh-CN" w:bidi="ar-SA"/>
    </w:rPr>
  </w:style>
  <w:style w:type="paragraph" w:styleId="2">
    <w:name w:val="heading 1"/>
    <w:basedOn w:val="1"/>
    <w:next w:val="1"/>
    <w:link w:val="12"/>
    <w:qFormat/>
    <w:uiPriority w:val="0"/>
    <w:pPr>
      <w:keepNext/>
      <w:keepLines/>
      <w:spacing w:before="340" w:after="330" w:line="578" w:lineRule="auto"/>
      <w:outlineLvl w:val="0"/>
    </w:pPr>
    <w:rPr>
      <w:b/>
      <w:bCs/>
      <w:kern w:val="44"/>
      <w:sz w:val="44"/>
      <w:szCs w:val="44"/>
    </w:rPr>
  </w:style>
  <w:style w:type="character" w:default="1" w:styleId="10">
    <w:name w:val="Default Paragraph Font"/>
    <w:unhideWhenUsed/>
    <w:uiPriority w:val="1"/>
  </w:style>
  <w:style w:type="table" w:default="1" w:styleId="8">
    <w:name w:val="Normal Table"/>
    <w:unhideWhenUsed/>
    <w:uiPriority w:val="99"/>
    <w:tblPr>
      <w:tblStyle w:val="8"/>
      <w:tblCellMar>
        <w:top w:w="0" w:type="dxa"/>
        <w:left w:w="108" w:type="dxa"/>
        <w:bottom w:w="0" w:type="dxa"/>
        <w:right w:w="108" w:type="dxa"/>
      </w:tblCellMar>
    </w:tblPr>
  </w:style>
  <w:style w:type="paragraph" w:styleId="3">
    <w:name w:val="Balloon Text"/>
    <w:basedOn w:val="1"/>
    <w:semiHidden/>
    <w:uiPriority w:val="0"/>
    <w:rPr>
      <w:sz w:val="18"/>
      <w:szCs w:val="18"/>
    </w:rPr>
  </w:style>
  <w:style w:type="paragraph" w:styleId="4">
    <w:name w:val="footer"/>
    <w:basedOn w:val="1"/>
    <w:uiPriority w:val="0"/>
    <w:pPr>
      <w:tabs>
        <w:tab w:val="center" w:pos="4153"/>
        <w:tab w:val="right" w:pos="8306"/>
      </w:tabs>
      <w:snapToGrid w:val="0"/>
      <w:jc w:val="left"/>
    </w:pPr>
    <w:rPr>
      <w:sz w:val="18"/>
    </w:rPr>
  </w:style>
  <w:style w:type="paragraph" w:styleId="5">
    <w:name w:val="header"/>
    <w:basedOn w:val="1"/>
    <w:uiPriority w:val="0"/>
    <w:pPr>
      <w:tabs>
        <w:tab w:val="center" w:pos="4153"/>
        <w:tab w:val="right" w:pos="8306"/>
      </w:tabs>
      <w:snapToGrid w:val="0"/>
      <w:jc w:val="center"/>
    </w:pPr>
    <w:rPr>
      <w:sz w:val="10"/>
      <w:szCs w:val="18"/>
    </w:rPr>
  </w:style>
  <w:style w:type="paragraph" w:styleId="6">
    <w:name w:val="Normal (Web)"/>
    <w:basedOn w:val="1"/>
    <w:qFormat/>
    <w:uiPriority w:val="0"/>
    <w:rPr>
      <w:sz w:val="24"/>
    </w:rPr>
  </w:style>
  <w:style w:type="paragraph" w:styleId="7">
    <w:name w:val="Title"/>
    <w:basedOn w:val="1"/>
    <w:next w:val="1"/>
    <w:link w:val="13"/>
    <w:qFormat/>
    <w:uiPriority w:val="0"/>
    <w:pPr>
      <w:spacing w:before="240" w:after="60"/>
      <w:jc w:val="center"/>
      <w:outlineLvl w:val="0"/>
    </w:pPr>
    <w:rPr>
      <w:rFonts w:ascii="Cambria" w:hAnsi="Cambria" w:eastAsia="宋体"/>
      <w:b/>
      <w:bCs/>
      <w:sz w:val="32"/>
      <w:szCs w:val="32"/>
    </w:rPr>
  </w:style>
  <w:style w:type="table" w:styleId="9">
    <w:name w:val="Table Grid"/>
    <w:basedOn w:val="8"/>
    <w:uiPriority w:val="0"/>
    <w:pPr>
      <w:widowControl w:val="0"/>
      <w:jc w:val="both"/>
    </w:pPr>
    <w:tblPr>
      <w:tblStyle w:val="8"/>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page number"/>
    <w:basedOn w:val="10"/>
    <w:uiPriority w:val="0"/>
  </w:style>
  <w:style w:type="character" w:customStyle="1" w:styleId="12">
    <w:name w:val="标题 1 Char"/>
    <w:link w:val="2"/>
    <w:uiPriority w:val="0"/>
    <w:rPr>
      <w:rFonts w:ascii="仿宋_GB2312" w:eastAsia="仿宋_GB2312"/>
      <w:b/>
      <w:bCs/>
      <w:kern w:val="44"/>
      <w:sz w:val="44"/>
      <w:szCs w:val="44"/>
    </w:rPr>
  </w:style>
  <w:style w:type="character" w:customStyle="1" w:styleId="13">
    <w:name w:val="标题 Char"/>
    <w:link w:val="7"/>
    <w:uiPriority w:val="0"/>
    <w:rPr>
      <w:rFonts w:ascii="Cambria" w:hAnsi="Cambria"/>
      <w:b/>
      <w:bCs/>
      <w:kern w:val="2"/>
      <w:sz w:val="32"/>
      <w:szCs w:val="32"/>
    </w:rPr>
  </w:style>
  <w:style w:type="paragraph" w:customStyle="1" w:styleId="14">
    <w:name w:val="副标题1"/>
    <w:basedOn w:val="15"/>
    <w:qFormat/>
    <w:uiPriority w:val="0"/>
    <w:pPr>
      <w:spacing w:line="240" w:lineRule="auto"/>
    </w:pPr>
    <w:rPr>
      <w:rFonts w:ascii="楷体" w:hAnsi="楷体" w:eastAsia="楷体" w:cs="宋体"/>
      <w:sz w:val="32"/>
      <w:szCs w:val="20"/>
    </w:rPr>
  </w:style>
  <w:style w:type="paragraph" w:customStyle="1" w:styleId="15">
    <w:name w:val="公文标题"/>
    <w:basedOn w:val="1"/>
    <w:qFormat/>
    <w:uiPriority w:val="0"/>
    <w:pPr>
      <w:spacing w:line="600" w:lineRule="exact"/>
      <w:jc w:val="center"/>
    </w:pPr>
    <w:rPr>
      <w:rFonts w:ascii="方正小标宋简体" w:eastAsia="方正小标宋简体"/>
      <w:kern w:val="0"/>
      <w:sz w:val="44"/>
      <w:szCs w:val="44"/>
    </w:rPr>
  </w:style>
  <w:style w:type="paragraph" w:customStyle="1" w:styleId="16">
    <w:name w:val="公文正文"/>
    <w:basedOn w:val="1"/>
    <w:qFormat/>
    <w:uiPriority w:val="0"/>
    <w:pPr>
      <w:ind w:firstLine="640" w:firstLineChars="200"/>
    </w:pPr>
    <w:rPr>
      <w:rFonts w:ascii="仿宋" w:hAnsi="仿宋" w:eastAsia="仿宋"/>
      <w:sz w:val="32"/>
      <w:szCs w:val="32"/>
    </w:rPr>
  </w:style>
  <w:style w:type="paragraph" w:customStyle="1" w:styleId="17">
    <w:name w:val="p0"/>
    <w:basedOn w:val="1"/>
    <w:uiPriority w:val="0"/>
    <w:pPr>
      <w:widowControl/>
    </w:pPr>
    <w:rPr>
      <w:rFonts w:ascii="Times New Roman" w:eastAsia="宋体"/>
      <w:kern w:val="0"/>
      <w:szCs w:val="21"/>
    </w:rPr>
  </w:style>
  <w:style w:type="paragraph" w:customStyle="1" w:styleId="18">
    <w:name w:val="Char Char Char Char"/>
    <w:basedOn w:val="1"/>
    <w:uiPriority w:val="0"/>
    <w:pPr>
      <w:widowControl/>
      <w:spacing w:after="160" w:line="240" w:lineRule="exact"/>
      <w:jc w:val="left"/>
    </w:pPr>
    <w:rPr>
      <w:rFonts w:ascii="Verdana" w:hAnsi="Verdana"/>
      <w:kern w:val="0"/>
      <w:sz w:val="24"/>
      <w:lang w:eastAsia="en-US"/>
    </w:rPr>
  </w:style>
  <w:style w:type="paragraph" w:customStyle="1" w:styleId="19">
    <w:name w:val="公文二级目录"/>
    <w:basedOn w:val="1"/>
    <w:qFormat/>
    <w:uiPriority w:val="0"/>
    <w:pPr>
      <w:ind w:firstLine="640" w:firstLineChars="200"/>
    </w:pPr>
    <w:rPr>
      <w:rFonts w:ascii="楷体_GB2312" w:hAnsi="仿宋" w:eastAsia="楷体_GB2312"/>
      <w:sz w:val="32"/>
      <w:szCs w:val="32"/>
    </w:rPr>
  </w:style>
  <w:style w:type="paragraph" w:customStyle="1" w:styleId="20">
    <w:name w:val="公文一级目录"/>
    <w:basedOn w:val="1"/>
    <w:qFormat/>
    <w:uiPriority w:val="0"/>
    <w:pPr>
      <w:ind w:firstLine="640" w:firstLineChars="200"/>
    </w:pPr>
    <w:rPr>
      <w:rFonts w:ascii="黑体" w:eastAsia="黑体"/>
      <w:sz w:val="32"/>
      <w:szCs w:val="32"/>
    </w:rPr>
  </w:style>
  <w:style w:type="paragraph" w:customStyle="1" w:styleId="21">
    <w:name w:val="正文1"/>
    <w:uiPriority w:val="0"/>
    <w:pPr>
      <w:jc w:val="both"/>
    </w:pPr>
    <w:rPr>
      <w:kern w:val="2"/>
      <w:sz w:val="21"/>
      <w:szCs w:val="21"/>
      <w:lang w:val="en-US" w:eastAsia="zh-CN" w:bidi="ar-SA"/>
    </w:rPr>
  </w:style>
  <w:style w:type="paragraph" w:customStyle="1" w:styleId="22">
    <w:name w:val="公文抬头"/>
    <w:basedOn w:val="1"/>
    <w:qFormat/>
    <w:uiPriority w:val="0"/>
    <w:rPr>
      <w:rFonts w:ascii="仿宋" w:hAnsi="仿宋" w:eastAsia="仿宋"/>
      <w:sz w:val="32"/>
      <w:szCs w:val="32"/>
    </w:rPr>
  </w:style>
  <w:style w:type="paragraph" w:customStyle="1" w:styleId="23">
    <w:name w:val="p19"/>
    <w:basedOn w:val="1"/>
    <w:uiPriority w:val="0"/>
    <w:pPr>
      <w:widowControl/>
    </w:pPr>
    <w:rPr>
      <w:rFonts w:ascii="Times New Roman" w:eastAsia="宋体"/>
      <w:kern w:val="0"/>
      <w:szCs w:val="21"/>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Y:\&#24120;&#29992;&#34920;&#24335;&#21450;&#27169;&#26495;\0&#25919;&#21327;&#20027;&#21150;.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0政协主办.dot</Template>
  <Pages>6</Pages>
  <Words>127</Words>
  <Characters>142</Characters>
  <Lines>1</Lines>
  <Paragraphs>1</Paragraphs>
  <TotalTime>4</TotalTime>
  <ScaleCrop>false</ScaleCrop>
  <LinksUpToDate>false</LinksUpToDate>
  <CharactersWithSpaces>170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2025-06-27T05:53:00Z</dcterms:created>
  <dc:creator>琪思喵相</dc:creator>
  <cp:keywords>JYJBGS</cp:keywords>
  <cp:lastModifiedBy>琪思喵相</cp:lastModifiedBy>
  <dcterms:modified xsi:type="dcterms:W3CDTF">2025-06-27T05:58:41Z</dcterms:modified>
  <dc:title>行政公文模板2020</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D5CD7959FCCC4B27B7011A87A0206B94_11</vt:lpwstr>
  </property>
  <property fmtid="{D5CDD505-2E9C-101B-9397-08002B2CF9AE}" pid="4" name="KSOTemplateDocerSaveRecord">
    <vt:lpwstr>eyJoZGlkIjoiYzg3YTJjMjUwZGEyZjJiODFhMTlhYmEzNjdhOWVlZTUiLCJ1c2VySWQiOiI2Nzc3OTk0In0=</vt:lpwstr>
  </property>
</Properties>
</file>