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21C57C">
      <w:pPr>
        <w:spacing w:line="600" w:lineRule="exact"/>
        <w:jc w:val="right"/>
        <w:rPr>
          <w:rFonts w:hint="eastAsia"/>
        </w:rPr>
      </w:pPr>
      <w:r>
        <w:rPr>
          <w:rFonts w:hint="eastAsia" w:ascii="黑体" w:hAnsi="黑体" w:eastAsia="黑体" w:cs="Times New Roman"/>
          <w:w w:val="120"/>
          <w:kern w:val="0"/>
          <w:sz w:val="32"/>
          <w:szCs w:val="32"/>
        </w:rPr>
        <w:t>〔</w:t>
      </w:r>
      <w:r>
        <w:rPr>
          <w:rFonts w:hint="eastAsia" w:ascii="黑体" w:hAnsi="黑体" w:eastAsia="黑体"/>
          <w:w w:val="120"/>
          <w:kern w:val="0"/>
          <w:sz w:val="32"/>
          <w:szCs w:val="32"/>
        </w:rPr>
        <w:t>A</w:t>
      </w:r>
      <w:r>
        <w:rPr>
          <w:rFonts w:hint="eastAsia" w:ascii="黑体" w:hAnsi="黑体" w:eastAsia="黑体" w:cs="Times New Roman"/>
          <w:w w:val="120"/>
          <w:kern w:val="0"/>
          <w:sz w:val="32"/>
          <w:szCs w:val="32"/>
        </w:rPr>
        <w:t>〕</w:t>
      </w:r>
      <w:bookmarkStart w:id="0" w:name="_GoBack"/>
      <w:bookmarkEnd w:id="0"/>
    </w:p>
    <w:p w14:paraId="768D39AD">
      <w:pPr>
        <w:spacing w:line="1300" w:lineRule="exact"/>
        <w:ind w:left="546" w:leftChars="260" w:right="544" w:rightChars="259"/>
        <w:jc w:val="distribute"/>
        <w:rPr>
          <w:rFonts w:ascii="方正小标宋简体" w:eastAsia="方正小标宋简体"/>
          <w:color w:val="FF0000"/>
          <w:w w:val="80"/>
          <w:sz w:val="96"/>
          <w:szCs w:val="96"/>
        </w:rPr>
      </w:pPr>
      <w:r>
        <w:rPr>
          <w:rFonts w:hint="eastAsia" w:ascii="方正小标宋简体" w:eastAsia="方正小标宋简体"/>
          <w:color w:val="FF0000"/>
          <w:w w:val="80"/>
          <w:sz w:val="96"/>
          <w:szCs w:val="96"/>
        </w:rPr>
        <w:t>苏州市教育局</w:t>
      </w:r>
    </w:p>
    <w:p w14:paraId="2F1E5F1E">
      <w:pPr>
        <w:spacing w:line="460" w:lineRule="exact"/>
        <w:jc w:val="center"/>
        <w:rPr>
          <w:rFonts w:ascii="Times New Roman"/>
          <w:sz w:val="32"/>
          <w:szCs w:val="32"/>
          <w:lang/>
        </w:rPr>
      </w:pPr>
    </w:p>
    <w:p w14:paraId="61C82DE5">
      <w:pPr>
        <w:spacing w:line="570" w:lineRule="exact"/>
        <w:ind w:firstLine="320" w:firstLineChars="100"/>
        <w:jc w:val="center"/>
        <w:rPr>
          <w:rFonts w:hint="eastAsia" w:ascii="仿宋" w:hAnsi="仿宋" w:eastAsia="仿宋" w:cs="仿宋"/>
          <w:snapToGrid w:val="0"/>
          <w:kern w:val="0"/>
          <w:sz w:val="32"/>
          <w:szCs w:val="32"/>
          <w:lang w:eastAsia="zh-CN"/>
        </w:rPr>
      </w:pP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eastAsia="zh-CN"/>
        </w:rPr>
        <w:t>2025</w:t>
      </w:r>
      <w:r>
        <w:rPr>
          <w:rFonts w:hint="eastAsia" w:ascii="仿宋" w:hAnsi="仿宋" w:eastAsia="仿宋" w:cs="仿宋"/>
          <w:snapToGrid w:val="0"/>
          <w:kern w:val="0"/>
          <w:sz w:val="32"/>
          <w:szCs w:val="32"/>
        </w:rPr>
        <w:t>〕</w:t>
      </w:r>
      <w:r>
        <w:rPr>
          <w:rFonts w:hint="eastAsia" w:ascii="仿宋" w:hAnsi="仿宋" w:eastAsia="仿宋" w:cs="仿宋"/>
          <w:snapToGrid w:val="0"/>
          <w:kern w:val="0"/>
          <w:sz w:val="32"/>
          <w:szCs w:val="32"/>
          <w:lang/>
        </w:rPr>
        <w:t>苏教办复第</w:t>
      </w:r>
      <w:r>
        <w:rPr>
          <w:rFonts w:hint="eastAsia" w:ascii="仿宋" w:hAnsi="仿宋" w:eastAsia="仿宋" w:cs="仿宋"/>
          <w:snapToGrid w:val="0"/>
          <w:kern w:val="0"/>
          <w:sz w:val="32"/>
          <w:szCs w:val="32"/>
          <w:lang w:val="en-US" w:eastAsia="zh-CN"/>
        </w:rPr>
        <w:t>174</w:t>
      </w:r>
      <w:r>
        <w:rPr>
          <w:rFonts w:hint="eastAsia" w:ascii="仿宋" w:hAnsi="仿宋" w:eastAsia="仿宋" w:cs="仿宋"/>
          <w:snapToGrid w:val="0"/>
          <w:kern w:val="0"/>
          <w:sz w:val="32"/>
          <w:szCs w:val="32"/>
          <w:lang/>
        </w:rPr>
        <w:t xml:space="preserve">号                 </w:t>
      </w:r>
      <w:r>
        <w:rPr>
          <w:rFonts w:hint="eastAsia" w:ascii="仿宋" w:hAnsi="仿宋" w:eastAsia="仿宋" w:cs="仿宋"/>
          <w:sz w:val="32"/>
          <w:szCs w:val="32"/>
        </w:rPr>
        <w:t>签发：</w:t>
      </w:r>
      <w:r>
        <w:rPr>
          <w:rFonts w:hint="eastAsia" w:ascii="仿宋" w:hAnsi="仿宋" w:eastAsia="仿宋" w:cs="仿宋"/>
          <w:sz w:val="32"/>
          <w:szCs w:val="32"/>
          <w:lang w:eastAsia="zh-CN"/>
        </w:rPr>
        <w:t>周志芳</w:t>
      </w:r>
    </w:p>
    <w:p w14:paraId="1FD3152F">
      <w:pPr>
        <w:spacing w:line="570" w:lineRule="exact"/>
        <w:jc w:val="center"/>
        <w:rPr>
          <w:rFonts w:ascii="Times New Roman" w:eastAsia="仿宋"/>
          <w:snapToGrid w:val="0"/>
          <w:kern w:val="0"/>
          <w:sz w:val="32"/>
          <w:szCs w:val="32"/>
          <w:lang/>
        </w:rPr>
      </w:pPr>
      <w:r>
        <w:rPr>
          <w:rFonts w:ascii="Times New Roman" w:eastAsia="仿宋"/>
          <w:kern w:val="0"/>
          <w:sz w:val="32"/>
          <w:szCs w:val="32"/>
          <w:lang/>
        </w:rPr>
        <mc:AlternateContent>
          <mc:Choice Requires="wps">
            <w:drawing>
              <wp:anchor distT="0" distB="0" distL="114300" distR="114300" simplePos="0" relativeHeight="251659264" behindDoc="0" locked="0" layoutInCell="1" allowOverlap="1">
                <wp:simplePos x="0" y="0"/>
                <wp:positionH relativeFrom="column">
                  <wp:posOffset>19685</wp:posOffset>
                </wp:positionH>
                <wp:positionV relativeFrom="paragraph">
                  <wp:posOffset>60960</wp:posOffset>
                </wp:positionV>
                <wp:extent cx="5777230" cy="0"/>
                <wp:effectExtent l="0" t="9525" r="13970" b="13335"/>
                <wp:wrapNone/>
                <wp:docPr id="1" name="直线 4"/>
                <wp:cNvGraphicFramePr/>
                <a:graphic xmlns:a="http://schemas.openxmlformats.org/drawingml/2006/main">
                  <a:graphicData uri="http://schemas.microsoft.com/office/word/2010/wordprocessingShape">
                    <wps:wsp>
                      <wps:cNvSpPr/>
                      <wps:spPr>
                        <a:xfrm>
                          <a:off x="0" y="0"/>
                          <a:ext cx="577723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直线 4" o:spid="_x0000_s1026" o:spt="20" style="position:absolute;left:0pt;margin-left:1.55pt;margin-top:4.8pt;height:0pt;width:454.9pt;z-index:251659264;mso-width-relative:page;mso-height-relative:page;" filled="f" stroked="t" coordsize="21600,21600" o:gfxdata="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z5H4H1AAA&#10;AAUBAAAPAAAAAAAAAAEAIAAAACIAAABkcnMvZG93bnJldi54bWxQSwECFAAUAAAACACHTuJAwFsN&#10;tekBAADcAwAADgAAAAAAAAABACAAAAAjAQAAZHJzL2Uyb0RvYy54bWxQSwUGAAAAAAYABgBZAQAA&#10;fgUAAAAA&#10;">
                <v:fill on="f" focussize="0,0"/>
                <v:stroke weight="1.5pt" color="#FF0000" joinstyle="round"/>
                <v:imagedata o:title=""/>
                <o:lock v:ext="edit" aspectratio="f"/>
              </v:line>
            </w:pict>
          </mc:Fallback>
        </mc:AlternateContent>
      </w:r>
    </w:p>
    <w:p w14:paraId="22BE9604">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对市政协十</w:t>
      </w:r>
      <w:r>
        <w:rPr>
          <w:rFonts w:hint="eastAsia" w:ascii="方正小标宋简体" w:eastAsia="方正小标宋简体"/>
          <w:kern w:val="0"/>
          <w:sz w:val="44"/>
          <w:szCs w:val="44"/>
          <w:lang w:eastAsia="zh-CN"/>
        </w:rPr>
        <w:t>五</w:t>
      </w:r>
      <w:r>
        <w:rPr>
          <w:rFonts w:hint="eastAsia" w:ascii="方正小标宋简体" w:eastAsia="方正小标宋简体"/>
          <w:kern w:val="0"/>
          <w:sz w:val="44"/>
          <w:szCs w:val="44"/>
        </w:rPr>
        <w:t>届</w:t>
      </w:r>
      <w:r>
        <w:rPr>
          <w:rFonts w:hint="eastAsia" w:ascii="方正小标宋简体" w:eastAsia="方正小标宋简体"/>
          <w:kern w:val="0"/>
          <w:sz w:val="44"/>
          <w:szCs w:val="44"/>
          <w:lang w:val="en-US" w:eastAsia="zh-CN"/>
        </w:rPr>
        <w:t>四</w:t>
      </w:r>
      <w:r>
        <w:rPr>
          <w:rFonts w:hint="eastAsia" w:ascii="方正小标宋简体" w:eastAsia="方正小标宋简体"/>
          <w:kern w:val="0"/>
          <w:sz w:val="44"/>
          <w:szCs w:val="44"/>
        </w:rPr>
        <w:t>次会议</w:t>
      </w:r>
    </w:p>
    <w:p w14:paraId="02DA5613">
      <w:pPr>
        <w:spacing w:line="600" w:lineRule="exact"/>
        <w:jc w:val="center"/>
        <w:rPr>
          <w:rFonts w:ascii="方正小标宋简体" w:eastAsia="方正小标宋简体"/>
          <w:kern w:val="0"/>
          <w:sz w:val="44"/>
          <w:szCs w:val="44"/>
        </w:rPr>
      </w:pPr>
      <w:r>
        <w:rPr>
          <w:rFonts w:hint="eastAsia" w:ascii="方正小标宋简体" w:eastAsia="方正小标宋简体"/>
          <w:kern w:val="0"/>
          <w:sz w:val="44"/>
          <w:szCs w:val="44"/>
        </w:rPr>
        <w:t>第</w:t>
      </w:r>
      <w:r>
        <w:rPr>
          <w:rFonts w:hint="eastAsia" w:ascii="方正小标宋简体" w:eastAsia="方正小标宋简体"/>
          <w:kern w:val="0"/>
          <w:sz w:val="44"/>
          <w:szCs w:val="44"/>
          <w:lang w:val="en-US" w:eastAsia="zh-CN"/>
        </w:rPr>
        <w:t>425</w:t>
      </w:r>
      <w:r>
        <w:rPr>
          <w:rFonts w:hint="eastAsia" w:ascii="方正小标宋简体" w:eastAsia="方正小标宋简体"/>
          <w:kern w:val="0"/>
          <w:sz w:val="44"/>
          <w:szCs w:val="44"/>
        </w:rPr>
        <w:t>号提案的答复</w:t>
      </w:r>
    </w:p>
    <w:p w14:paraId="424A94DB">
      <w:pPr>
        <w:keepNext w:val="0"/>
        <w:keepLines w:val="0"/>
        <w:pageBreakBefore w:val="0"/>
        <w:widowControl w:val="0"/>
        <w:kinsoku/>
        <w:overflowPunct/>
        <w:topLinePunct w:val="0"/>
        <w:autoSpaceDE/>
        <w:autoSpaceDN/>
        <w:bidi w:val="0"/>
        <w:adjustRightInd/>
        <w:snapToGrid/>
        <w:spacing w:line="550" w:lineRule="exact"/>
        <w:textAlignment w:val="auto"/>
        <w:rPr>
          <w:rFonts w:ascii="仿宋" w:hAnsi="仿宋" w:eastAsia="仿宋"/>
          <w:sz w:val="32"/>
          <w:szCs w:val="32"/>
        </w:rPr>
      </w:pPr>
    </w:p>
    <w:p w14:paraId="4E077998">
      <w:pPr>
        <w:pStyle w:val="21"/>
        <w:keepNext w:val="0"/>
        <w:keepLines w:val="0"/>
        <w:pageBreakBefore w:val="0"/>
        <w:widowControl w:val="0"/>
        <w:kinsoku/>
        <w:overflowPunct/>
        <w:topLinePunct w:val="0"/>
        <w:autoSpaceDE/>
        <w:autoSpaceDN/>
        <w:bidi w:val="0"/>
        <w:adjustRightInd/>
        <w:snapToGrid/>
        <w:spacing w:line="550" w:lineRule="exact"/>
        <w:textAlignment w:val="auto"/>
        <w:rPr>
          <w:rFonts w:hint="eastAsia"/>
          <w:lang w:eastAsia="zh-CN"/>
        </w:rPr>
      </w:pPr>
      <w:r>
        <w:rPr>
          <w:rFonts w:hint="eastAsia"/>
          <w:lang w:eastAsia="zh-CN"/>
        </w:rPr>
        <w:t>由腾腾委员：</w:t>
      </w:r>
    </w:p>
    <w:p w14:paraId="49827BE6">
      <w:pPr>
        <w:pStyle w:val="15"/>
        <w:keepNext w:val="0"/>
        <w:keepLines w:val="0"/>
        <w:pageBreakBefore w:val="0"/>
        <w:widowControl w:val="0"/>
        <w:kinsoku/>
        <w:overflowPunct/>
        <w:topLinePunct w:val="0"/>
        <w:autoSpaceDE/>
        <w:autoSpaceDN/>
        <w:bidi w:val="0"/>
        <w:adjustRightInd/>
        <w:snapToGrid/>
        <w:spacing w:line="550" w:lineRule="exact"/>
        <w:textAlignment w:val="auto"/>
        <w:rPr>
          <w:rFonts w:hint="eastAsia"/>
          <w:lang w:eastAsia="zh-CN"/>
        </w:rPr>
      </w:pPr>
      <w:r>
        <w:rPr>
          <w:rFonts w:hint="eastAsia"/>
          <w:lang w:eastAsia="zh-CN"/>
        </w:rPr>
        <w:t>您提出的《关于加强青少年文化遗产教育的建议》</w:t>
      </w:r>
      <w:r>
        <w:rPr>
          <w:rFonts w:hint="eastAsia"/>
        </w:rPr>
        <w:t>的提案</w:t>
      </w:r>
      <w:r>
        <w:rPr>
          <w:rFonts w:hint="eastAsia"/>
          <w:lang w:eastAsia="zh-CN"/>
        </w:rPr>
        <w:t>收悉。现答复如下：</w:t>
      </w:r>
    </w:p>
    <w:p w14:paraId="028F6145">
      <w:pPr>
        <w:pStyle w:val="15"/>
        <w:keepNext w:val="0"/>
        <w:keepLines w:val="0"/>
        <w:pageBreakBefore w:val="0"/>
        <w:widowControl w:val="0"/>
        <w:kinsoku/>
        <w:overflowPunct/>
        <w:topLinePunct w:val="0"/>
        <w:autoSpaceDE/>
        <w:autoSpaceDN/>
        <w:bidi w:val="0"/>
        <w:adjustRightInd/>
        <w:snapToGrid/>
        <w:spacing w:line="550" w:lineRule="exact"/>
        <w:textAlignment w:val="auto"/>
        <w:rPr>
          <w:rFonts w:hint="eastAsia"/>
          <w:lang w:val="en-US" w:eastAsia="zh-CN"/>
        </w:rPr>
      </w:pPr>
      <w:r>
        <w:rPr>
          <w:rFonts w:hint="eastAsia"/>
          <w:lang w:val="en-US" w:eastAsia="zh-CN"/>
        </w:rPr>
        <w:t>苏州文化底蕴深厚，有着丰富的物质文化遗产和非物质文化遗产的资源，有着像昆曲、苏剧、评弹、园林、苏绣等各类非遗。进一步加强青少年文化遗产的教育工作，有助于推进文化遗产保护和传承，帮助青少年更好地承担起传承与弘扬中华优秀传统文化的历史使命。</w:t>
      </w:r>
    </w:p>
    <w:p w14:paraId="6982AFC0">
      <w:pPr>
        <w:pStyle w:val="15"/>
        <w:keepNext w:val="0"/>
        <w:keepLines w:val="0"/>
        <w:pageBreakBefore w:val="0"/>
        <w:widowControl w:val="0"/>
        <w:kinsoku/>
        <w:overflowPunct/>
        <w:topLinePunct w:val="0"/>
        <w:autoSpaceDE/>
        <w:autoSpaceDN/>
        <w:bidi w:val="0"/>
        <w:adjustRightInd/>
        <w:snapToGrid/>
        <w:spacing w:line="550" w:lineRule="exact"/>
        <w:textAlignment w:val="auto"/>
        <w:rPr>
          <w:rFonts w:hint="eastAsia"/>
        </w:rPr>
      </w:pPr>
      <w:r>
        <w:rPr>
          <w:rFonts w:hint="eastAsia"/>
          <w:lang w:eastAsia="zh-CN"/>
        </w:rPr>
        <w:t>一直以来</w:t>
      </w:r>
      <w:r>
        <w:rPr>
          <w:rFonts w:hint="eastAsia"/>
        </w:rPr>
        <w:t>，</w:t>
      </w:r>
      <w:r>
        <w:rPr>
          <w:rFonts w:hint="eastAsia"/>
          <w:lang w:val="en-US" w:eastAsia="zh-CN"/>
        </w:rPr>
        <w:t>我市</w:t>
      </w:r>
      <w:r>
        <w:rPr>
          <w:rFonts w:hint="eastAsia"/>
        </w:rPr>
        <w:t>高度重视在中小学中开展文化</w:t>
      </w:r>
      <w:r>
        <w:rPr>
          <w:rFonts w:hint="eastAsia"/>
          <w:lang w:val="en-US" w:eastAsia="zh-CN"/>
        </w:rPr>
        <w:t>遗产</w:t>
      </w:r>
      <w:r>
        <w:rPr>
          <w:rFonts w:hint="eastAsia"/>
        </w:rPr>
        <w:t>教育，</w:t>
      </w:r>
      <w:r>
        <w:rPr>
          <w:rFonts w:hint="eastAsia"/>
          <w:lang w:val="en-US" w:eastAsia="zh-CN"/>
        </w:rPr>
        <w:t>将</w:t>
      </w:r>
      <w:r>
        <w:rPr>
          <w:rFonts w:hint="eastAsia"/>
        </w:rPr>
        <w:t>文化</w:t>
      </w:r>
      <w:r>
        <w:rPr>
          <w:rFonts w:hint="eastAsia"/>
          <w:lang w:val="en-US" w:eastAsia="zh-CN"/>
        </w:rPr>
        <w:t>遗产</w:t>
      </w:r>
      <w:r>
        <w:rPr>
          <w:rFonts w:hint="eastAsia"/>
        </w:rPr>
        <w:t>教育融入学校教育教学日常工作。</w:t>
      </w:r>
    </w:p>
    <w:p w14:paraId="7B6E7061">
      <w:pPr>
        <w:pStyle w:val="15"/>
        <w:keepNext w:val="0"/>
        <w:keepLines w:val="0"/>
        <w:pageBreakBefore w:val="0"/>
        <w:widowControl w:val="0"/>
        <w:kinsoku/>
        <w:overflowPunct/>
        <w:topLinePunct w:val="0"/>
        <w:autoSpaceDE/>
        <w:autoSpaceDN/>
        <w:bidi w:val="0"/>
        <w:adjustRightInd/>
        <w:snapToGrid/>
        <w:spacing w:line="550" w:lineRule="exact"/>
        <w:textAlignment w:val="auto"/>
        <w:rPr>
          <w:rFonts w:hint="eastAsia"/>
        </w:rPr>
      </w:pPr>
      <w:r>
        <w:rPr>
          <w:rStyle w:val="23"/>
          <w:rFonts w:hint="eastAsia"/>
        </w:rPr>
        <w:t>一是将优秀传统文化</w:t>
      </w:r>
      <w:r>
        <w:rPr>
          <w:rStyle w:val="23"/>
          <w:rFonts w:hint="eastAsia"/>
          <w:lang w:eastAsia="zh-CN"/>
        </w:rPr>
        <w:t>、</w:t>
      </w:r>
      <w:r>
        <w:rPr>
          <w:rStyle w:val="23"/>
          <w:rFonts w:hint="eastAsia"/>
        </w:rPr>
        <w:t>文化遗产保护列入了校本课程。</w:t>
      </w:r>
      <w:r>
        <w:rPr>
          <w:rFonts w:hint="eastAsia"/>
        </w:rPr>
        <w:t>围绕苏州非物质文化遗产保护，各地各校</w:t>
      </w:r>
      <w:r>
        <w:rPr>
          <w:rFonts w:hint="eastAsia"/>
          <w:lang w:eastAsia="zh-CN"/>
        </w:rPr>
        <w:t>依据当地资源与特色，将</w:t>
      </w:r>
      <w:r>
        <w:rPr>
          <w:rFonts w:hint="eastAsia"/>
        </w:rPr>
        <w:t>苏州非物质文化遗产保护</w:t>
      </w:r>
      <w:r>
        <w:rPr>
          <w:rFonts w:hint="eastAsia"/>
          <w:lang w:eastAsia="zh-CN"/>
        </w:rPr>
        <w:t>融入教育教学内容</w:t>
      </w:r>
      <w:r>
        <w:rPr>
          <w:rFonts w:hint="eastAsia"/>
        </w:rPr>
        <w:t>。苏州评弹、刺绣、昆剧、木刻等10多种区域传统文化瑰宝已经生根校园、发芽开花。苏州非物质文化遗产保护在中小学的传播传承工作也已呈现了区域特色。如张家港、常熟等市在中小学生社会实践基地建立了江南农耕文化教育馆，对学生进行江南水乡农耕生活教育；工业园区在青少年活动中心以“弘扬民族文化，传承国粹文化”为主题，面向全市中小学每年举行国粹节；吴中区教育局成立“孙子兵法”课题组，指导学校开展孙子兵法教育；姑苏区专门成立未成年人传统文化传承指导中心，</w:t>
      </w:r>
      <w:r>
        <w:rPr>
          <w:rFonts w:hint="default"/>
          <w:lang w:val="en-US" w:eastAsia="zh-CN"/>
        </w:rPr>
        <w:t>姑苏区将非遗技艺、民间艺术与劳动教育相结合，引入非遗大师，桃花坞木版年画、制扇技艺、缂丝织造技艺、苏州灯彩、泥塑、苏州船点制作技艺、皮老虎制作技艺、苏州剪（刻）纸、三花栽培技艺、香山木刻、太湖窑陶瓷制作技艺、盘扣制作技艺、金钩针编结技艺、苏州竹刻、扎染等非遗技艺和民间艺术纷纷进入校园</w:t>
      </w:r>
      <w:r>
        <w:rPr>
          <w:rFonts w:hint="eastAsia"/>
          <w:lang w:eastAsia="zh-CN"/>
        </w:rPr>
        <w:t>。</w:t>
      </w:r>
      <w:r>
        <w:rPr>
          <w:rFonts w:hint="eastAsia"/>
        </w:rPr>
        <w:t>在中小学研究性学习课程中，苏州的古城古镇和古典园林、山水景观和诗词歌赋、昆曲评弹和书法绘画、民情民俗和稻米蚕桑等等，均成了学校校本课程的重要内容。很多学校已经形成比较成熟的吴文化校本教材。</w:t>
      </w:r>
    </w:p>
    <w:p w14:paraId="2612DE53">
      <w:pPr>
        <w:pStyle w:val="15"/>
        <w:keepNext w:val="0"/>
        <w:keepLines w:val="0"/>
        <w:pageBreakBefore w:val="0"/>
        <w:widowControl w:val="0"/>
        <w:kinsoku/>
        <w:overflowPunct/>
        <w:topLinePunct w:val="0"/>
        <w:autoSpaceDE/>
        <w:autoSpaceDN/>
        <w:bidi w:val="0"/>
        <w:adjustRightInd/>
        <w:snapToGrid/>
        <w:spacing w:line="550" w:lineRule="exact"/>
        <w:textAlignment w:val="auto"/>
        <w:rPr>
          <w:rFonts w:hint="eastAsia"/>
          <w:lang w:eastAsia="zh-CN"/>
        </w:rPr>
      </w:pPr>
      <w:r>
        <w:rPr>
          <w:rStyle w:val="23"/>
          <w:rFonts w:hint="eastAsia"/>
          <w:lang w:val="en-US" w:eastAsia="zh-CN"/>
        </w:rPr>
        <w:t>二</w:t>
      </w:r>
      <w:r>
        <w:rPr>
          <w:rStyle w:val="23"/>
          <w:rFonts w:hint="eastAsia"/>
        </w:rPr>
        <w:t>是开展学生社会实践活动。</w:t>
      </w:r>
      <w:r>
        <w:rPr>
          <w:rFonts w:hint="eastAsia"/>
        </w:rPr>
        <w:t>发挥学生社团的作用</w:t>
      </w:r>
      <w:r>
        <w:rPr>
          <w:rFonts w:hint="eastAsia"/>
          <w:lang w:eastAsia="zh-CN"/>
        </w:rPr>
        <w:t>，</w:t>
      </w:r>
      <w:r>
        <w:rPr>
          <w:rFonts w:hint="eastAsia"/>
        </w:rPr>
        <w:t>近年来，大多数中小学建有具有非遗手工工艺的社团，如高新区镇湖中心小学的刺绣社、苏州市桃坞中心小学的“木刻年画社”、相城区玉成实验小学“草木染社团”等。通过引进非遗大师等作为特聘校外专家，利用课后延时服务和社团活动时间，发挥学生社团的凝聚力，让有着共同爱好的学生在活动中学习传统技艺、展示学习成果。各中小学校大力挖掘周边的传统文化资源，设计符合校情、学情的校本社会实践课程。许多学校积极利用社会传统文化资源，与相关单位深度合作，设计了各具特色的课程，让学生在实践中</w:t>
      </w:r>
      <w:r>
        <w:rPr>
          <w:rFonts w:hint="eastAsia"/>
          <w:lang w:eastAsia="zh-CN"/>
        </w:rPr>
        <w:t>了解、体验</w:t>
      </w:r>
      <w:r>
        <w:rPr>
          <w:rFonts w:hint="eastAsia"/>
        </w:rPr>
        <w:t>、热爱传统</w:t>
      </w:r>
      <w:r>
        <w:rPr>
          <w:rFonts w:hint="eastAsia"/>
          <w:lang w:eastAsia="zh-CN"/>
        </w:rPr>
        <w:t>、非遗</w:t>
      </w:r>
      <w:r>
        <w:rPr>
          <w:rFonts w:hint="eastAsia"/>
        </w:rPr>
        <w:t>文化。</w:t>
      </w:r>
      <w:r>
        <w:rPr>
          <w:rFonts w:hint="eastAsia"/>
          <w:lang w:val="en-US" w:eastAsia="zh-CN"/>
        </w:rPr>
        <w:t>姑苏区中小学充分发挥姑苏古城教育资源优势，</w:t>
      </w:r>
      <w:r>
        <w:rPr>
          <w:rFonts w:hint="eastAsia"/>
          <w:lang w:eastAsia="zh-CN"/>
        </w:rPr>
        <w:t>利用综合实践活动、课后服务等契机，结合《姑苏符号》读本，</w:t>
      </w:r>
      <w:r>
        <w:rPr>
          <w:rFonts w:hint="eastAsia"/>
          <w:lang w:val="en-US" w:eastAsia="zh-CN"/>
        </w:rPr>
        <w:t>先后启动“带着读本游古城”系列教育活动、</w:t>
      </w:r>
      <w:r>
        <w:rPr>
          <w:rFonts w:hint="eastAsia"/>
          <w:lang w:eastAsia="zh-CN"/>
        </w:rPr>
        <w:t>开展地方文化教育活动</w:t>
      </w:r>
      <w:r>
        <w:rPr>
          <w:rFonts w:hint="eastAsia"/>
          <w:lang w:val="en-US" w:eastAsia="zh-CN"/>
        </w:rPr>
        <w:t>的创新教育形式</w:t>
      </w:r>
      <w:r>
        <w:rPr>
          <w:rFonts w:hint="eastAsia"/>
          <w:lang w:eastAsia="zh-CN"/>
        </w:rPr>
        <w:t>。</w:t>
      </w:r>
    </w:p>
    <w:p w14:paraId="053D3D95">
      <w:pPr>
        <w:pStyle w:val="15"/>
        <w:keepNext w:val="0"/>
        <w:keepLines w:val="0"/>
        <w:pageBreakBefore w:val="0"/>
        <w:widowControl w:val="0"/>
        <w:kinsoku/>
        <w:overflowPunct/>
        <w:topLinePunct w:val="0"/>
        <w:autoSpaceDE/>
        <w:autoSpaceDN/>
        <w:bidi w:val="0"/>
        <w:adjustRightInd/>
        <w:snapToGrid/>
        <w:spacing w:line="550" w:lineRule="exact"/>
        <w:textAlignment w:val="auto"/>
        <w:rPr>
          <w:rFonts w:hint="eastAsia"/>
          <w:lang w:val="en-US" w:eastAsia="zh-CN"/>
        </w:rPr>
      </w:pPr>
      <w:r>
        <w:rPr>
          <w:rStyle w:val="23"/>
          <w:rFonts w:hint="eastAsia"/>
          <w:lang w:val="en-US" w:eastAsia="zh-CN"/>
        </w:rPr>
        <w:t>三是充分发挥我市文博场馆、文旅活动社会教育作用</w:t>
      </w:r>
      <w:r>
        <w:rPr>
          <w:rFonts w:hint="eastAsia"/>
          <w:lang w:val="en-US" w:eastAsia="zh-CN"/>
        </w:rPr>
        <w:t>。</w:t>
      </w:r>
      <w:r>
        <w:rPr>
          <w:rFonts w:hint="eastAsia"/>
        </w:rPr>
        <w:t>全市建成苏州博物馆为代表的国有博物馆、苏州生肖邮票博物馆为代表的非国有博物馆共130家，总体数量位居全国大中城市第一方阵，在推动苏州文化大发展大繁荣的历史进程中，博物馆发挥着积极作用。特别是在引导教育</w:t>
      </w:r>
      <w:r>
        <w:rPr>
          <w:rFonts w:hint="eastAsia"/>
          <w:lang w:eastAsia="zh-CN"/>
        </w:rPr>
        <w:t>青少年</w:t>
      </w:r>
      <w:r>
        <w:rPr>
          <w:rFonts w:hint="eastAsia"/>
        </w:rPr>
        <w:t>方面，开展了</w:t>
      </w:r>
      <w:r>
        <w:rPr>
          <w:rFonts w:hint="eastAsia"/>
          <w:lang w:eastAsia="zh-CN"/>
        </w:rPr>
        <w:t>内容丰富</w:t>
      </w:r>
      <w:r>
        <w:rPr>
          <w:rFonts w:hint="eastAsia"/>
        </w:rPr>
        <w:t>的展陈和形式多样的宣教活动及馆校合作。每年开设馆校合作项目、举办研学活动300余场</w:t>
      </w:r>
      <w:r>
        <w:rPr>
          <w:rFonts w:hint="eastAsia"/>
          <w:lang w:eastAsia="zh-CN"/>
        </w:rPr>
        <w:t>。</w:t>
      </w:r>
      <w:r>
        <w:rPr>
          <w:rFonts w:hint="eastAsia"/>
          <w:lang w:val="en-US" w:eastAsia="zh-CN"/>
        </w:rPr>
        <w:t>在各类文旅活动中深度融入非遗元素，在江南文化艺术·国际旅游节、大运河文化旅游博览会、文旅消费季、寒山寺新年听钟声等品牌活动，以及苏州本地及外地的文旅推介活动上，通过主题海报、现场展陈、推介环节及新媒体传播强化苏州非遗特色。在“水韵江苏”旅游主题列车活动中开展苏州特色文旅推介活动，通过苏州评弹展演、碧螺春茶艺展示、苏博文创展销和苏式糕点品鉴等互动体验，立体呈现苏州文化魅力。</w:t>
      </w:r>
    </w:p>
    <w:p w14:paraId="5BCD798E">
      <w:pPr>
        <w:pStyle w:val="15"/>
        <w:keepNext w:val="0"/>
        <w:keepLines w:val="0"/>
        <w:pageBreakBefore w:val="0"/>
        <w:widowControl w:val="0"/>
        <w:kinsoku/>
        <w:overflowPunct/>
        <w:topLinePunct w:val="0"/>
        <w:autoSpaceDE/>
        <w:autoSpaceDN/>
        <w:bidi w:val="0"/>
        <w:adjustRightInd/>
        <w:snapToGrid/>
        <w:spacing w:line="550" w:lineRule="exact"/>
        <w:textAlignment w:val="auto"/>
        <w:rPr>
          <w:rFonts w:hint="eastAsia"/>
          <w:lang w:val="en-US" w:eastAsia="zh-CN"/>
        </w:rPr>
      </w:pPr>
      <w:r>
        <w:rPr>
          <w:rStyle w:val="23"/>
          <w:rFonts w:hint="eastAsia"/>
          <w:lang w:val="en-US" w:eastAsia="zh-CN"/>
        </w:rPr>
        <w:t>四是依托新媒体矩阵持续打造非遗内容。</w:t>
      </w:r>
      <w:r>
        <w:rPr>
          <w:rFonts w:hint="eastAsia"/>
          <w:lang w:val="en-US" w:eastAsia="zh-CN"/>
        </w:rPr>
        <w:t>在抖音、小红书、B站及微信视频号平台开设“苏作匠心”“吴地雅韵”等特色专栏，全年发布涵盖传统技艺、戏剧曲艺、民俗饮食等领域的非遗内容。2025年重点策划的“品碧螺春游苏州春天”专题，通过时令特色传播碧螺春制作技艺及相关文旅产品，赋能文旅消费。根据 DeepSeek数据，重点运营的B站、抖音、小红书平台青少年用户占比居全国前列，精准实现了年轻群体的传播触达。做好非遗系列相关资料拍摄传播工作，先后做好“水韵江苏”非遗形象片、“你所不知道的水韵江苏”等拍摄工作，内容涵盖评弹、昆曲、园林等苏州的核心文化符号。</w:t>
      </w:r>
    </w:p>
    <w:p w14:paraId="0B0F8189">
      <w:pPr>
        <w:pStyle w:val="15"/>
        <w:keepNext w:val="0"/>
        <w:keepLines w:val="0"/>
        <w:pageBreakBefore w:val="0"/>
        <w:widowControl w:val="0"/>
        <w:kinsoku/>
        <w:overflowPunct/>
        <w:topLinePunct w:val="0"/>
        <w:autoSpaceDE/>
        <w:autoSpaceDN/>
        <w:bidi w:val="0"/>
        <w:adjustRightInd/>
        <w:snapToGrid/>
        <w:spacing w:line="550" w:lineRule="exact"/>
        <w:textAlignment w:val="auto"/>
        <w:rPr>
          <w:rFonts w:hint="eastAsia"/>
          <w:lang w:val="en-US" w:eastAsia="zh-CN"/>
        </w:rPr>
      </w:pPr>
      <w:r>
        <w:rPr>
          <w:rFonts w:hint="eastAsia"/>
          <w:lang w:val="en-US" w:eastAsia="zh-CN"/>
        </w:rPr>
        <w:t>您的建议给了我们很大的启发，下一步我市将紧紧围绕立德树人根本任务，进一步完善青少年文化遗产教育体系，在文化遗产教育中加强文化内涵教育，将进一步优化校本课程设置，深入挖掘苏州文化遗产的内涵和价值，开发更多具有系统性、专业性和趣味性的课程。拓展社会实践活动的形式和内容，组织学生参与文化遗产保护、传承和开发等活动，为学生提供展示学习成果的平台，激发学生的学习兴趣和创造力。将加强与文博场馆、文旅活动等合作，整合资源，形成教育合力。同时，充分发挥新媒体的作用，利用虚拟现实、增强现实等技术，打造沉浸式的文化遗产教育体验，提高青少年的参与度和互动性。</w:t>
      </w:r>
    </w:p>
    <w:p w14:paraId="0B8B332E">
      <w:pPr>
        <w:pStyle w:val="15"/>
        <w:keepNext w:val="0"/>
        <w:keepLines w:val="0"/>
        <w:pageBreakBefore w:val="0"/>
        <w:widowControl w:val="0"/>
        <w:kinsoku/>
        <w:overflowPunct/>
        <w:topLinePunct w:val="0"/>
        <w:autoSpaceDE/>
        <w:autoSpaceDN/>
        <w:bidi w:val="0"/>
        <w:adjustRightInd/>
        <w:snapToGrid/>
        <w:spacing w:line="550" w:lineRule="exact"/>
        <w:textAlignment w:val="auto"/>
      </w:pPr>
      <w:r>
        <w:rPr>
          <w:rFonts w:hint="eastAsia"/>
        </w:rPr>
        <w:t>最后</w:t>
      </w:r>
      <w:r>
        <w:t>，</w:t>
      </w:r>
      <w:r>
        <w:rPr>
          <w:rFonts w:hint="eastAsia"/>
        </w:rPr>
        <w:t>感谢您</w:t>
      </w:r>
      <w:r>
        <w:t>对教育的理解和支持！</w:t>
      </w:r>
    </w:p>
    <w:p w14:paraId="2E86E193">
      <w:pPr>
        <w:keepNext w:val="0"/>
        <w:keepLines w:val="0"/>
        <w:pageBreakBefore w:val="0"/>
        <w:widowControl w:val="0"/>
        <w:kinsoku/>
        <w:overflowPunct/>
        <w:topLinePunct w:val="0"/>
        <w:autoSpaceDE/>
        <w:autoSpaceDN/>
        <w:bidi w:val="0"/>
        <w:adjustRightInd/>
        <w:snapToGrid/>
        <w:spacing w:line="550" w:lineRule="exact"/>
        <w:ind w:firstLine="640" w:firstLineChars="200"/>
        <w:textAlignment w:val="auto"/>
        <w:rPr>
          <w:rFonts w:ascii="仿宋" w:hAnsi="仿宋" w:eastAsia="仿宋"/>
          <w:sz w:val="32"/>
          <w:szCs w:val="32"/>
        </w:rPr>
      </w:pPr>
    </w:p>
    <w:p w14:paraId="0E08F7F3">
      <w:pPr>
        <w:keepNext w:val="0"/>
        <w:keepLines w:val="0"/>
        <w:pageBreakBefore w:val="0"/>
        <w:widowControl w:val="0"/>
        <w:kinsoku/>
        <w:wordWrap w:val="0"/>
        <w:overflowPunct/>
        <w:topLinePunct w:val="0"/>
        <w:autoSpaceDE/>
        <w:autoSpaceDN/>
        <w:bidi w:val="0"/>
        <w:adjustRightInd/>
        <w:snapToGrid/>
        <w:spacing w:line="550" w:lineRule="exact"/>
        <w:ind w:right="1260" w:rightChars="600"/>
        <w:jc w:val="right"/>
        <w:textAlignment w:val="auto"/>
        <w:rPr>
          <w:rFonts w:ascii="仿宋" w:hAnsi="仿宋" w:eastAsia="仿宋"/>
          <w:sz w:val="32"/>
          <w:szCs w:val="32"/>
        </w:rPr>
      </w:pPr>
      <w:r>
        <w:rPr>
          <w:rFonts w:ascii="仿宋" w:hAnsi="仿宋" w:eastAsia="仿宋"/>
          <w:sz w:val="32"/>
          <w:szCs w:val="32"/>
        </w:rPr>
        <w:t>苏州市教育局</w:t>
      </w:r>
    </w:p>
    <w:p w14:paraId="0A5E0A45">
      <w:pPr>
        <w:keepNext w:val="0"/>
        <w:keepLines w:val="0"/>
        <w:pageBreakBefore w:val="0"/>
        <w:widowControl w:val="0"/>
        <w:kinsoku/>
        <w:overflowPunct/>
        <w:topLinePunct w:val="0"/>
        <w:autoSpaceDE/>
        <w:autoSpaceDN/>
        <w:bidi w:val="0"/>
        <w:adjustRightInd/>
        <w:snapToGrid/>
        <w:spacing w:line="550" w:lineRule="exact"/>
        <w:ind w:right="840" w:rightChars="400"/>
        <w:jc w:val="right"/>
        <w:textAlignment w:val="auto"/>
        <w:rPr>
          <w:rFonts w:ascii="仿宋" w:hAnsi="仿宋" w:eastAsia="仿宋"/>
          <w:sz w:val="32"/>
          <w:szCs w:val="32"/>
        </w:rPr>
      </w:pPr>
      <w:r>
        <w:rPr>
          <w:rFonts w:hint="eastAsia" w:ascii="仿宋" w:hAnsi="仿宋" w:eastAsia="仿宋"/>
          <w:sz w:val="32"/>
          <w:szCs w:val="32"/>
          <w:lang w:eastAsia="zh-CN"/>
        </w:rPr>
        <w:t>2025</w:t>
      </w:r>
      <w:r>
        <w:rPr>
          <w:rFonts w:ascii="仿宋" w:hAnsi="仿宋" w:eastAsia="仿宋"/>
          <w:sz w:val="32"/>
          <w:szCs w:val="32"/>
        </w:rPr>
        <w:t>年</w:t>
      </w:r>
      <w:r>
        <w:rPr>
          <w:rFonts w:hint="eastAsia" w:ascii="仿宋" w:hAnsi="仿宋" w:eastAsia="仿宋"/>
          <w:sz w:val="32"/>
          <w:szCs w:val="32"/>
          <w:lang w:val="en-US" w:eastAsia="zh-CN"/>
        </w:rPr>
        <w:t>6</w:t>
      </w:r>
      <w:r>
        <w:rPr>
          <w:rFonts w:ascii="仿宋" w:hAnsi="仿宋" w:eastAsia="仿宋"/>
          <w:sz w:val="32"/>
          <w:szCs w:val="32"/>
        </w:rPr>
        <w:t>月</w:t>
      </w:r>
      <w:r>
        <w:rPr>
          <w:rFonts w:hint="eastAsia" w:ascii="仿宋" w:hAnsi="仿宋" w:eastAsia="仿宋"/>
          <w:sz w:val="32"/>
          <w:szCs w:val="32"/>
          <w:lang w:val="en-US" w:eastAsia="zh-CN"/>
        </w:rPr>
        <w:t>26</w:t>
      </w:r>
      <w:r>
        <w:rPr>
          <w:rFonts w:ascii="仿宋" w:hAnsi="仿宋" w:eastAsia="仿宋"/>
          <w:sz w:val="32"/>
          <w:szCs w:val="32"/>
        </w:rPr>
        <w:t>日</w:t>
      </w:r>
    </w:p>
    <w:p w14:paraId="46095A08">
      <w:pPr>
        <w:pStyle w:val="15"/>
        <w:keepNext w:val="0"/>
        <w:keepLines w:val="0"/>
        <w:pageBreakBefore w:val="0"/>
        <w:widowControl w:val="0"/>
        <w:kinsoku/>
        <w:wordWrap/>
        <w:overflowPunct/>
        <w:topLinePunct w:val="0"/>
        <w:autoSpaceDE/>
        <w:autoSpaceDN/>
        <w:bidi w:val="0"/>
        <w:adjustRightInd/>
        <w:snapToGrid/>
        <w:spacing w:line="550" w:lineRule="exact"/>
        <w:ind w:firstLine="0" w:firstLineChars="0"/>
        <w:textAlignment w:val="auto"/>
        <w:rPr>
          <w:rFonts w:hint="eastAsia" w:eastAsia="仿宋"/>
          <w:lang w:eastAsia="zh-CN"/>
        </w:rPr>
      </w:pPr>
      <w:r>
        <w:rPr>
          <w:rFonts w:hint="eastAsia"/>
        </w:rPr>
        <w:t>联系人姓名：</w:t>
      </w:r>
      <w:r>
        <w:rPr>
          <w:rFonts w:hint="eastAsia"/>
          <w:lang w:eastAsia="zh-CN"/>
        </w:rPr>
        <w:t>王双全</w:t>
      </w:r>
    </w:p>
    <w:p w14:paraId="25055684">
      <w:pPr>
        <w:pStyle w:val="15"/>
        <w:keepNext w:val="0"/>
        <w:keepLines w:val="0"/>
        <w:pageBreakBefore w:val="0"/>
        <w:widowControl w:val="0"/>
        <w:kinsoku/>
        <w:wordWrap/>
        <w:overflowPunct/>
        <w:topLinePunct w:val="0"/>
        <w:autoSpaceDE/>
        <w:autoSpaceDN/>
        <w:bidi w:val="0"/>
        <w:adjustRightInd/>
        <w:snapToGrid/>
        <w:spacing w:line="550" w:lineRule="exact"/>
        <w:ind w:firstLine="0" w:firstLineChars="0"/>
        <w:textAlignment w:val="auto"/>
        <w:rPr>
          <w:rFonts w:hint="eastAsia" w:cs="Times New Roman"/>
          <w:lang w:eastAsia="zh-CN"/>
        </w:rPr>
      </w:pPr>
      <w:r>
        <w:rPr>
          <w:rFonts w:hint="eastAsia" w:cs="Times New Roman"/>
          <w:lang w:eastAsia="zh-CN"/>
        </w:rPr>
        <w:t>联 系 电话：</w:t>
      </w:r>
      <w:r>
        <w:rPr>
          <w:rFonts w:hint="eastAsia" w:cs="Times New Roman"/>
          <w:lang w:val="en-US" w:eastAsia="zh-CN"/>
        </w:rPr>
        <w:t>65103680</w:t>
      </w:r>
    </w:p>
    <w:p w14:paraId="68F6E341">
      <w:pPr>
        <w:pStyle w:val="15"/>
        <w:keepNext w:val="0"/>
        <w:keepLines w:val="0"/>
        <w:pageBreakBefore w:val="0"/>
        <w:widowControl w:val="0"/>
        <w:kinsoku/>
        <w:wordWrap/>
        <w:overflowPunct/>
        <w:topLinePunct w:val="0"/>
        <w:autoSpaceDE/>
        <w:autoSpaceDN/>
        <w:bidi w:val="0"/>
        <w:adjustRightInd/>
        <w:snapToGrid/>
        <w:spacing w:line="550" w:lineRule="exact"/>
        <w:ind w:firstLine="0" w:firstLineChars="0"/>
        <w:textAlignment w:val="auto"/>
        <w:rPr>
          <w:rFonts w:hint="eastAsia" w:ascii="Times New Roman" w:eastAsia="仿宋"/>
          <w:color w:val="0000FF"/>
          <w:sz w:val="32"/>
          <w:szCs w:val="32"/>
          <w:lang w:eastAsia="zh-CN"/>
        </w:rPr>
      </w:pPr>
      <w:r>
        <w:rPr>
          <w:rFonts w:hint="eastAsia"/>
        </w:rPr>
        <w:t>抄</w:t>
      </w:r>
      <w:r>
        <w:t xml:space="preserve">      </w:t>
      </w:r>
      <w:r>
        <w:rPr>
          <w:rFonts w:hint="eastAsia"/>
        </w:rPr>
        <w:t>送：市政府办公室、市政协提案委</w:t>
      </w:r>
      <w:r>
        <w:rPr>
          <w:rFonts w:hint="eastAsia"/>
          <w:lang w:eastAsia="zh-CN"/>
        </w:rPr>
        <w:t>、市文广旅局</w:t>
      </w:r>
    </w:p>
    <w:sectPr>
      <w:headerReference r:id="rId3" w:type="first"/>
      <w:footerReference r:id="rId6" w:type="first"/>
      <w:footerReference r:id="rId4" w:type="default"/>
      <w:footerReference r:id="rId5" w:type="even"/>
      <w:pgSz w:w="11907" w:h="16840"/>
      <w:pgMar w:top="1928" w:right="1417" w:bottom="1928" w:left="1417" w:header="851" w:footer="1418" w:gutter="227"/>
      <w:pgNumType w:fmt="numberInDash"/>
      <w:cols w:space="720" w:num="1"/>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6EA9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9D295D">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14:paraId="529D295D">
                    <w:pPr>
                      <w:pStyle w:val="4"/>
                      <w:keepNext w:val="0"/>
                      <w:keepLines w:val="0"/>
                      <w:pageBreakBefore w:val="0"/>
                      <w:widowControl w:val="0"/>
                      <w:kinsoku/>
                      <w:wordWrap/>
                      <w:overflowPunct/>
                      <w:topLinePunct w:val="0"/>
                      <w:bidi w:val="0"/>
                      <w:adjustRightInd/>
                      <w:snapToGrid w:val="0"/>
                      <w:ind w:left="420" w:leftChars="200" w:right="420" w:rightChars="200"/>
                      <w:textAlignment w:val="auto"/>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rPr>
                      <w:t>- 2 -</w:t>
                    </w:r>
                    <w:r>
                      <w:rPr>
                        <w:rFonts w:ascii="宋体" w:hAnsi="宋体" w:eastAsia="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F9AD3">
    <w:pPr>
      <w:pStyle w:val="4"/>
      <w:framePr w:wrap="around" w:vAnchor="text" w:hAnchor="margin" w:xAlign="center" w:y="1"/>
      <w:rPr>
        <w:rStyle w:val="10"/>
        <w:rFonts w:ascii="宋体" w:hAnsi="宋体" w:eastAsia="宋体"/>
        <w:sz w:val="28"/>
        <w:szCs w:val="28"/>
      </w:rPr>
    </w:pPr>
    <w:r>
      <w:rPr>
        <w:rFonts w:ascii="宋体" w:hAnsi="宋体" w:eastAsia="宋体"/>
        <w:sz w:val="28"/>
        <w:szCs w:val="28"/>
      </w:rPr>
      <w:fldChar w:fldCharType="begin"/>
    </w:r>
    <w:r>
      <w:rPr>
        <w:rStyle w:val="10"/>
        <w:rFonts w:ascii="宋体" w:hAnsi="宋体" w:eastAsia="宋体"/>
        <w:sz w:val="28"/>
        <w:szCs w:val="28"/>
      </w:rPr>
      <w:instrText xml:space="preserve">PAGE  </w:instrText>
    </w:r>
    <w:r>
      <w:rPr>
        <w:rFonts w:ascii="宋体" w:hAnsi="宋体" w:eastAsia="宋体"/>
        <w:sz w:val="28"/>
        <w:szCs w:val="28"/>
      </w:rPr>
      <w:fldChar w:fldCharType="separate"/>
    </w:r>
    <w:r>
      <w:rPr>
        <w:rStyle w:val="10"/>
        <w:rFonts w:ascii="宋体" w:hAnsi="宋体" w:eastAsia="宋体"/>
        <w:sz w:val="28"/>
        <w:szCs w:val="28"/>
        <w:lang/>
      </w:rPr>
      <w:t>- 2 -</w:t>
    </w:r>
    <w:r>
      <w:rPr>
        <w:rFonts w:ascii="宋体" w:hAnsi="宋体" w:eastAsia="宋体"/>
        <w:sz w:val="28"/>
        <w:szCs w:val="28"/>
      </w:rPr>
      <w:fldChar w:fldCharType="end"/>
    </w:r>
  </w:p>
  <w:p w14:paraId="49AE2576">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87FE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4851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8"/>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5"/>
  <w:hyphenationZone w:val="360"/>
  <w:drawingGridHorizontalSpacing w:val="105"/>
  <w:drawingGridVerticalSpacing w:val="579"/>
  <w:displayHorizontalDrawingGridEvery w:val="0"/>
  <w:displayVerticalDrawingGridEvery w:val="1"/>
  <w:characterSpacingControl w:val="compressPunctuation"/>
  <w:hdrShapeDefaults>
    <o:shapelayout v:ext="edit">
      <o:idmap v:ext="edit" data="2"/>
    </o:shapelayout>
  </w:hdrShapeDefaults>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3YTJjMjUwZGEyZjJiODFhMTlhYmEzNjdhOWVlZTUifQ=="/>
  </w:docVars>
  <w:rsids>
    <w:rsidRoot w:val="71ED311D"/>
    <w:rsid w:val="00045292"/>
    <w:rsid w:val="000803F5"/>
    <w:rsid w:val="00082101"/>
    <w:rsid w:val="000B622A"/>
    <w:rsid w:val="000C204F"/>
    <w:rsid w:val="000C3B70"/>
    <w:rsid w:val="001015E8"/>
    <w:rsid w:val="00113B13"/>
    <w:rsid w:val="001244D7"/>
    <w:rsid w:val="00127206"/>
    <w:rsid w:val="0013613B"/>
    <w:rsid w:val="00136994"/>
    <w:rsid w:val="00155558"/>
    <w:rsid w:val="00170750"/>
    <w:rsid w:val="001B4BB5"/>
    <w:rsid w:val="001E1A7A"/>
    <w:rsid w:val="001F4FDA"/>
    <w:rsid w:val="001F6740"/>
    <w:rsid w:val="00205064"/>
    <w:rsid w:val="00224806"/>
    <w:rsid w:val="00271781"/>
    <w:rsid w:val="00275F81"/>
    <w:rsid w:val="00284939"/>
    <w:rsid w:val="002B484F"/>
    <w:rsid w:val="002B72F5"/>
    <w:rsid w:val="002C01D3"/>
    <w:rsid w:val="002C1244"/>
    <w:rsid w:val="002C53F0"/>
    <w:rsid w:val="002E56A4"/>
    <w:rsid w:val="002E7B43"/>
    <w:rsid w:val="002F5677"/>
    <w:rsid w:val="003109A8"/>
    <w:rsid w:val="003168B0"/>
    <w:rsid w:val="00322EAE"/>
    <w:rsid w:val="00331D07"/>
    <w:rsid w:val="003322F1"/>
    <w:rsid w:val="00351D37"/>
    <w:rsid w:val="00363833"/>
    <w:rsid w:val="0038526F"/>
    <w:rsid w:val="00390A7B"/>
    <w:rsid w:val="00391B10"/>
    <w:rsid w:val="003C316A"/>
    <w:rsid w:val="003E16C4"/>
    <w:rsid w:val="003F3FD2"/>
    <w:rsid w:val="004076DD"/>
    <w:rsid w:val="0042736D"/>
    <w:rsid w:val="00455C99"/>
    <w:rsid w:val="00463FE2"/>
    <w:rsid w:val="004852FE"/>
    <w:rsid w:val="00490EB1"/>
    <w:rsid w:val="0049110A"/>
    <w:rsid w:val="00495309"/>
    <w:rsid w:val="004A2E29"/>
    <w:rsid w:val="004B2169"/>
    <w:rsid w:val="004B618A"/>
    <w:rsid w:val="004B626E"/>
    <w:rsid w:val="004C5FC4"/>
    <w:rsid w:val="004E4E36"/>
    <w:rsid w:val="004F0BF4"/>
    <w:rsid w:val="004F67D6"/>
    <w:rsid w:val="004F6DCA"/>
    <w:rsid w:val="00525143"/>
    <w:rsid w:val="00545DC4"/>
    <w:rsid w:val="00554CA5"/>
    <w:rsid w:val="0055512D"/>
    <w:rsid w:val="005568DE"/>
    <w:rsid w:val="00560E55"/>
    <w:rsid w:val="00582D09"/>
    <w:rsid w:val="0058530A"/>
    <w:rsid w:val="005A2FA0"/>
    <w:rsid w:val="005A5E4F"/>
    <w:rsid w:val="005C2E4F"/>
    <w:rsid w:val="005D6720"/>
    <w:rsid w:val="005D7665"/>
    <w:rsid w:val="0060470C"/>
    <w:rsid w:val="006151D5"/>
    <w:rsid w:val="0064078C"/>
    <w:rsid w:val="006721B8"/>
    <w:rsid w:val="00692AEB"/>
    <w:rsid w:val="006A7E9C"/>
    <w:rsid w:val="006B33F9"/>
    <w:rsid w:val="006B58E2"/>
    <w:rsid w:val="006C3ADF"/>
    <w:rsid w:val="006E1B4A"/>
    <w:rsid w:val="006E66A1"/>
    <w:rsid w:val="006F6DF7"/>
    <w:rsid w:val="00724B7A"/>
    <w:rsid w:val="007316E9"/>
    <w:rsid w:val="00741B66"/>
    <w:rsid w:val="0075124D"/>
    <w:rsid w:val="007863ED"/>
    <w:rsid w:val="007A519A"/>
    <w:rsid w:val="008144A5"/>
    <w:rsid w:val="00815BDF"/>
    <w:rsid w:val="00817FA3"/>
    <w:rsid w:val="00851202"/>
    <w:rsid w:val="00867029"/>
    <w:rsid w:val="00872179"/>
    <w:rsid w:val="00876921"/>
    <w:rsid w:val="00892BFD"/>
    <w:rsid w:val="00895067"/>
    <w:rsid w:val="008B50C4"/>
    <w:rsid w:val="008D5EF8"/>
    <w:rsid w:val="00921922"/>
    <w:rsid w:val="009270C5"/>
    <w:rsid w:val="00933378"/>
    <w:rsid w:val="009569E0"/>
    <w:rsid w:val="00961CE0"/>
    <w:rsid w:val="009636EF"/>
    <w:rsid w:val="00967F5A"/>
    <w:rsid w:val="0097493F"/>
    <w:rsid w:val="00981264"/>
    <w:rsid w:val="00990029"/>
    <w:rsid w:val="00991C72"/>
    <w:rsid w:val="00993E5D"/>
    <w:rsid w:val="009A2D78"/>
    <w:rsid w:val="009A3748"/>
    <w:rsid w:val="009A5576"/>
    <w:rsid w:val="009C39E3"/>
    <w:rsid w:val="009C4710"/>
    <w:rsid w:val="009D0535"/>
    <w:rsid w:val="00A41F29"/>
    <w:rsid w:val="00A536CF"/>
    <w:rsid w:val="00AC37A4"/>
    <w:rsid w:val="00AD4CC3"/>
    <w:rsid w:val="00AF4EB8"/>
    <w:rsid w:val="00B32A2E"/>
    <w:rsid w:val="00B70DA9"/>
    <w:rsid w:val="00B75AC5"/>
    <w:rsid w:val="00B76435"/>
    <w:rsid w:val="00B76FE1"/>
    <w:rsid w:val="00B871A7"/>
    <w:rsid w:val="00B90A4D"/>
    <w:rsid w:val="00B91DE4"/>
    <w:rsid w:val="00B95A09"/>
    <w:rsid w:val="00BA14C3"/>
    <w:rsid w:val="00BA572C"/>
    <w:rsid w:val="00BC0400"/>
    <w:rsid w:val="00BE0B14"/>
    <w:rsid w:val="00BF60FA"/>
    <w:rsid w:val="00C420CA"/>
    <w:rsid w:val="00C615D1"/>
    <w:rsid w:val="00C639B3"/>
    <w:rsid w:val="00CA6EE0"/>
    <w:rsid w:val="00CF0B21"/>
    <w:rsid w:val="00D00FA6"/>
    <w:rsid w:val="00D26435"/>
    <w:rsid w:val="00D26FBE"/>
    <w:rsid w:val="00D33255"/>
    <w:rsid w:val="00D4233D"/>
    <w:rsid w:val="00D44547"/>
    <w:rsid w:val="00D86564"/>
    <w:rsid w:val="00D86D96"/>
    <w:rsid w:val="00DA041F"/>
    <w:rsid w:val="00DB4DB1"/>
    <w:rsid w:val="00DE1A7E"/>
    <w:rsid w:val="00DF6C3A"/>
    <w:rsid w:val="00E066BB"/>
    <w:rsid w:val="00E17777"/>
    <w:rsid w:val="00E601FE"/>
    <w:rsid w:val="00E619F2"/>
    <w:rsid w:val="00E72A34"/>
    <w:rsid w:val="00E83AD3"/>
    <w:rsid w:val="00E95041"/>
    <w:rsid w:val="00EE6E7A"/>
    <w:rsid w:val="00F33872"/>
    <w:rsid w:val="00F33CA6"/>
    <w:rsid w:val="00F52DA0"/>
    <w:rsid w:val="00FD11C0"/>
    <w:rsid w:val="049B5201"/>
    <w:rsid w:val="0AD82C3E"/>
    <w:rsid w:val="101A2ED3"/>
    <w:rsid w:val="20E62BD1"/>
    <w:rsid w:val="21486514"/>
    <w:rsid w:val="294F1BAF"/>
    <w:rsid w:val="2CFF3CE2"/>
    <w:rsid w:val="49E46575"/>
    <w:rsid w:val="4BEB6189"/>
    <w:rsid w:val="54542900"/>
    <w:rsid w:val="61A7456F"/>
    <w:rsid w:val="61CD07DD"/>
    <w:rsid w:val="70C93198"/>
    <w:rsid w:val="71ED311D"/>
    <w:rsid w:val="751065E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eastAsia="仿宋_GB2312"/>
      <w:kern w:val="2"/>
      <w:sz w:val="21"/>
      <w:lang w:val="en-US" w:eastAsia="zh-CN" w:bidi="ar-SA"/>
    </w:rPr>
  </w:style>
  <w:style w:type="paragraph" w:styleId="2">
    <w:name w:val="heading 1"/>
    <w:basedOn w:val="1"/>
    <w:next w:val="1"/>
    <w:link w:val="11"/>
    <w:qFormat/>
    <w:uiPriority w:val="0"/>
    <w:pPr>
      <w:keepNext/>
      <w:keepLines/>
      <w:spacing w:before="340" w:after="330" w:line="578" w:lineRule="auto"/>
      <w:outlineLvl w:val="0"/>
    </w:pPr>
    <w:rPr>
      <w:b/>
      <w:bCs/>
      <w:kern w:val="44"/>
      <w:sz w:val="44"/>
      <w:szCs w:val="44"/>
    </w:rPr>
  </w:style>
  <w:style w:type="character" w:default="1" w:styleId="9">
    <w:name w:val="Default Paragraph Font"/>
    <w:unhideWhenUsed/>
    <w:uiPriority w:val="1"/>
  </w:style>
  <w:style w:type="table" w:default="1" w:styleId="7">
    <w:name w:val="Normal Table"/>
    <w:unhideWhenUsed/>
    <w:uiPriority w:val="99"/>
    <w:tblPr>
      <w:tblStyle w:val="7"/>
      <w:tblCellMar>
        <w:top w:w="0" w:type="dxa"/>
        <w:left w:w="108" w:type="dxa"/>
        <w:bottom w:w="0" w:type="dxa"/>
        <w:right w:w="108" w:type="dxa"/>
      </w:tblCellMar>
    </w:tblPr>
  </w:style>
  <w:style w:type="paragraph" w:styleId="3">
    <w:name w:val="Balloon Text"/>
    <w:basedOn w:val="1"/>
    <w:semiHidden/>
    <w:uiPriority w:val="0"/>
    <w:rPr>
      <w:sz w:val="18"/>
      <w:szCs w:val="18"/>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tabs>
        <w:tab w:val="center" w:pos="4153"/>
        <w:tab w:val="right" w:pos="8306"/>
      </w:tabs>
      <w:snapToGrid w:val="0"/>
      <w:jc w:val="center"/>
    </w:pPr>
    <w:rPr>
      <w:sz w:val="10"/>
      <w:szCs w:val="18"/>
    </w:rPr>
  </w:style>
  <w:style w:type="paragraph" w:styleId="6">
    <w:name w:val="Title"/>
    <w:basedOn w:val="1"/>
    <w:next w:val="1"/>
    <w:link w:val="12"/>
    <w:qFormat/>
    <w:uiPriority w:val="0"/>
    <w:pPr>
      <w:spacing w:before="240" w:after="60"/>
      <w:jc w:val="center"/>
      <w:outlineLvl w:val="0"/>
    </w:pPr>
    <w:rPr>
      <w:rFonts w:ascii="Cambria" w:hAnsi="Cambria" w:eastAsia="宋体"/>
      <w:b/>
      <w:bCs/>
      <w:sz w:val="32"/>
      <w:szCs w:val="32"/>
    </w:rPr>
  </w:style>
  <w:style w:type="table" w:styleId="8">
    <w:name w:val="Table Grid"/>
    <w:basedOn w:val="7"/>
    <w:uiPriority w:val="0"/>
    <w:pPr>
      <w:widowControl w:val="0"/>
      <w:jc w:val="both"/>
    </w:pPr>
    <w:tblPr>
      <w:tblStyle w:val="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uiPriority w:val="0"/>
  </w:style>
  <w:style w:type="character" w:customStyle="1" w:styleId="11">
    <w:name w:val="标题 1 Char"/>
    <w:link w:val="2"/>
    <w:uiPriority w:val="0"/>
    <w:rPr>
      <w:rFonts w:ascii="仿宋_GB2312" w:eastAsia="仿宋_GB2312"/>
      <w:b/>
      <w:bCs/>
      <w:kern w:val="44"/>
      <w:sz w:val="44"/>
      <w:szCs w:val="44"/>
    </w:rPr>
  </w:style>
  <w:style w:type="character" w:customStyle="1" w:styleId="12">
    <w:name w:val="标题 Char"/>
    <w:link w:val="6"/>
    <w:uiPriority w:val="0"/>
    <w:rPr>
      <w:rFonts w:ascii="Cambria" w:hAnsi="Cambria"/>
      <w:b/>
      <w:bCs/>
      <w:kern w:val="2"/>
      <w:sz w:val="32"/>
      <w:szCs w:val="32"/>
    </w:rPr>
  </w:style>
  <w:style w:type="paragraph" w:customStyle="1" w:styleId="13">
    <w:name w:val="副标题1"/>
    <w:basedOn w:val="14"/>
    <w:qFormat/>
    <w:uiPriority w:val="0"/>
    <w:pPr>
      <w:spacing w:line="240" w:lineRule="auto"/>
    </w:pPr>
    <w:rPr>
      <w:rFonts w:ascii="楷体" w:hAnsi="楷体" w:eastAsia="楷体" w:cs="宋体"/>
      <w:sz w:val="32"/>
      <w:szCs w:val="20"/>
    </w:rPr>
  </w:style>
  <w:style w:type="paragraph" w:customStyle="1" w:styleId="14">
    <w:name w:val="公文标题"/>
    <w:basedOn w:val="1"/>
    <w:qFormat/>
    <w:uiPriority w:val="0"/>
    <w:pPr>
      <w:spacing w:line="600" w:lineRule="exact"/>
      <w:jc w:val="center"/>
    </w:pPr>
    <w:rPr>
      <w:rFonts w:ascii="方正小标宋简体" w:eastAsia="方正小标宋简体"/>
      <w:kern w:val="0"/>
      <w:sz w:val="44"/>
      <w:szCs w:val="44"/>
    </w:rPr>
  </w:style>
  <w:style w:type="paragraph" w:customStyle="1" w:styleId="15">
    <w:name w:val="公文正文"/>
    <w:basedOn w:val="1"/>
    <w:qFormat/>
    <w:uiPriority w:val="0"/>
    <w:pPr>
      <w:ind w:firstLine="640" w:firstLineChars="200"/>
    </w:pPr>
    <w:rPr>
      <w:rFonts w:ascii="仿宋" w:hAnsi="仿宋" w:eastAsia="仿宋"/>
      <w:sz w:val="32"/>
      <w:szCs w:val="32"/>
    </w:rPr>
  </w:style>
  <w:style w:type="paragraph" w:customStyle="1" w:styleId="16">
    <w:name w:val="p0"/>
    <w:basedOn w:val="1"/>
    <w:uiPriority w:val="0"/>
    <w:pPr>
      <w:widowControl/>
    </w:pPr>
    <w:rPr>
      <w:rFonts w:ascii="Times New Roman" w:eastAsia="宋体"/>
      <w:kern w:val="0"/>
      <w:szCs w:val="21"/>
    </w:rPr>
  </w:style>
  <w:style w:type="paragraph" w:customStyle="1" w:styleId="17">
    <w:name w:val="Char Char Char Char"/>
    <w:basedOn w:val="1"/>
    <w:uiPriority w:val="0"/>
    <w:pPr>
      <w:widowControl/>
      <w:spacing w:after="160" w:line="240" w:lineRule="exact"/>
      <w:jc w:val="left"/>
    </w:pPr>
    <w:rPr>
      <w:rFonts w:ascii="Verdana" w:hAnsi="Verdana"/>
      <w:kern w:val="0"/>
      <w:sz w:val="24"/>
      <w:lang w:eastAsia="en-US"/>
    </w:rPr>
  </w:style>
  <w:style w:type="paragraph" w:customStyle="1" w:styleId="18">
    <w:name w:val="公文二级目录"/>
    <w:basedOn w:val="1"/>
    <w:qFormat/>
    <w:uiPriority w:val="0"/>
    <w:pPr>
      <w:ind w:firstLine="640" w:firstLineChars="200"/>
    </w:pPr>
    <w:rPr>
      <w:rFonts w:ascii="楷体_GB2312" w:hAnsi="仿宋" w:eastAsia="楷体_GB2312"/>
      <w:sz w:val="32"/>
      <w:szCs w:val="32"/>
    </w:rPr>
  </w:style>
  <w:style w:type="paragraph" w:customStyle="1" w:styleId="19">
    <w:name w:val="公文一级目录"/>
    <w:basedOn w:val="1"/>
    <w:link w:val="23"/>
    <w:qFormat/>
    <w:uiPriority w:val="0"/>
    <w:pPr>
      <w:ind w:firstLine="640" w:firstLineChars="200"/>
    </w:pPr>
    <w:rPr>
      <w:rFonts w:ascii="黑体" w:eastAsia="黑体"/>
      <w:sz w:val="32"/>
      <w:szCs w:val="32"/>
    </w:rPr>
  </w:style>
  <w:style w:type="paragraph" w:customStyle="1" w:styleId="20">
    <w:name w:val="正文1"/>
    <w:uiPriority w:val="0"/>
    <w:pPr>
      <w:jc w:val="both"/>
    </w:pPr>
    <w:rPr>
      <w:kern w:val="2"/>
      <w:sz w:val="21"/>
      <w:szCs w:val="21"/>
      <w:lang w:val="en-US" w:eastAsia="zh-CN" w:bidi="ar-SA"/>
    </w:rPr>
  </w:style>
  <w:style w:type="paragraph" w:customStyle="1" w:styleId="21">
    <w:name w:val="公文抬头"/>
    <w:basedOn w:val="1"/>
    <w:qFormat/>
    <w:uiPriority w:val="0"/>
    <w:rPr>
      <w:rFonts w:ascii="仿宋" w:hAnsi="仿宋" w:eastAsia="仿宋"/>
      <w:sz w:val="32"/>
      <w:szCs w:val="32"/>
    </w:rPr>
  </w:style>
  <w:style w:type="paragraph" w:customStyle="1" w:styleId="22">
    <w:name w:val="p19"/>
    <w:basedOn w:val="1"/>
    <w:uiPriority w:val="0"/>
    <w:pPr>
      <w:widowControl/>
    </w:pPr>
    <w:rPr>
      <w:rFonts w:ascii="Times New Roman" w:eastAsia="宋体"/>
      <w:kern w:val="0"/>
      <w:szCs w:val="21"/>
    </w:rPr>
  </w:style>
  <w:style w:type="character" w:customStyle="1" w:styleId="23">
    <w:name w:val="公文一级目录 Char"/>
    <w:link w:val="19"/>
    <w:uiPriority w:val="0"/>
    <w:rPr>
      <w:rFonts w:ascii="黑体" w:eastAsia="黑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Y:\&#24120;&#29992;&#34920;&#24335;&#21450;&#27169;&#26495;\0&#25919;&#21327;&#20027;&#21150;.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0政协主办.dot</Template>
  <Pages>4</Pages>
  <Words>127</Words>
  <Characters>142</Characters>
  <Lines>1</Lines>
  <Paragraphs>1</Paragraphs>
  <TotalTime>1</TotalTime>
  <ScaleCrop>false</ScaleCrop>
  <LinksUpToDate>false</LinksUpToDate>
  <CharactersWithSpaces>170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2025-06-27T05:39:00Z</dcterms:created>
  <dc:creator>琪思喵相</dc:creator>
  <cp:keywords>JYJBGS</cp:keywords>
  <cp:lastModifiedBy>琪思喵相</cp:lastModifiedBy>
  <dcterms:modified xsi:type="dcterms:W3CDTF">2025-06-27T05:42:03Z</dcterms:modified>
  <dc:title>行政公文模板2020</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E02EB7F7844545FE8B4BB29512A28BEF_11</vt:lpwstr>
  </property>
  <property fmtid="{D5CDD505-2E9C-101B-9397-08002B2CF9AE}" pid="4" name="KSOTemplateDocerSaveRecord">
    <vt:lpwstr>eyJoZGlkIjoiYzg3YTJjMjUwZGEyZjJiODFhMTlhYmEzNjdhOWVlZTUiLCJ1c2VySWQiOiI2Nzc3OTk0In0=</vt:lpwstr>
  </property>
</Properties>
</file>