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AC37B">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010F397E">
      <w:pPr>
        <w:pStyle w:val="4"/>
        <w:bidi w:val="0"/>
        <w:rPr>
          <w:rFonts w:hint="eastAsia"/>
        </w:rPr>
      </w:pPr>
    </w:p>
    <w:p w14:paraId="3BDDBF38">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4BF5D0BD">
      <w:pPr>
        <w:spacing w:line="460" w:lineRule="exact"/>
        <w:jc w:val="center"/>
        <w:rPr>
          <w:rFonts w:ascii="Times New Roman"/>
          <w:sz w:val="32"/>
          <w:szCs w:val="32"/>
          <w:lang/>
        </w:rPr>
      </w:pPr>
    </w:p>
    <w:p w14:paraId="06EF1B9E">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rPr>
        <w:t>苏教办复第</w:t>
      </w:r>
      <w:r>
        <w:rPr>
          <w:rFonts w:hint="eastAsia" w:ascii="仿宋" w:hAnsi="仿宋" w:eastAsia="仿宋" w:cs="仿宋"/>
          <w:snapToGrid w:val="0"/>
          <w:kern w:val="0"/>
          <w:sz w:val="32"/>
          <w:szCs w:val="32"/>
          <w:lang w:val="en-US" w:eastAsia="zh-CN"/>
        </w:rPr>
        <w:t>165</w:t>
      </w:r>
      <w:r>
        <w:rPr>
          <w:rFonts w:hint="eastAsia" w:ascii="仿宋" w:hAnsi="仿宋" w:eastAsia="仿宋" w:cs="仿宋"/>
          <w:snapToGrid w:val="0"/>
          <w:kern w:val="0"/>
          <w:sz w:val="32"/>
          <w:szCs w:val="32"/>
          <w:lang/>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1FC90069">
      <w:pPr>
        <w:spacing w:line="570" w:lineRule="exact"/>
        <w:jc w:val="center"/>
        <w:rPr>
          <w:rFonts w:ascii="Times New Roman" w:eastAsia="仿宋"/>
          <w:snapToGrid w:val="0"/>
          <w:kern w:val="0"/>
          <w:sz w:val="32"/>
          <w:szCs w:val="32"/>
          <w:lang/>
        </w:rPr>
      </w:pPr>
      <w:r>
        <w:rPr>
          <w:rFonts w:ascii="Times New Roman" w:eastAsia="仿宋"/>
          <w:kern w:val="0"/>
          <w:sz w:val="32"/>
          <w:szCs w:val="32"/>
          <w:lang/>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Sp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5H4H1AAA&#10;AAUBAAAPAAAAAAAAAAEAIAAAACIAAABkcnMvZG93bnJldi54bWxQSwECFAAUAAAACACHTuJAwFsN&#10;tekBAADcAwAADgAAAAAAAAABACAAAAAjAQAAZHJzL2Uyb0RvYy54bWxQSwUGAAAAAAYABgBZAQAA&#10;fgUAAAAA&#10;">
                <v:fill on="f" focussize="0,0"/>
                <v:stroke weight="1.5pt" color="#FF0000" joinstyle="round"/>
                <v:imagedata o:title=""/>
                <o:lock v:ext="edit" aspectratio="f"/>
              </v:line>
            </w:pict>
          </mc:Fallback>
        </mc:AlternateContent>
      </w:r>
    </w:p>
    <w:p w14:paraId="723DC727">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对市政协十</w:t>
      </w:r>
      <w:r>
        <w:rPr>
          <w:rFonts w:hint="eastAsia" w:ascii="方正小标宋简体" w:eastAsia="方正小标宋简体"/>
          <w:kern w:val="0"/>
          <w:sz w:val="44"/>
          <w:szCs w:val="44"/>
          <w:lang w:eastAsia="zh-CN"/>
        </w:rPr>
        <w:t>五</w:t>
      </w:r>
      <w:r>
        <w:rPr>
          <w:rFonts w:hint="eastAsia" w:ascii="方正小标宋简体" w:eastAsia="方正小标宋简体"/>
          <w:kern w:val="0"/>
          <w:sz w:val="44"/>
          <w:szCs w:val="44"/>
        </w:rPr>
        <w:t>届</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789AE554">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427</w:t>
      </w:r>
      <w:r>
        <w:rPr>
          <w:rFonts w:hint="eastAsia" w:ascii="方正小标宋简体" w:eastAsia="方正小标宋简体"/>
          <w:kern w:val="0"/>
          <w:sz w:val="44"/>
          <w:szCs w:val="44"/>
        </w:rPr>
        <w:t>号提案的答复</w:t>
      </w:r>
    </w:p>
    <w:p w14:paraId="33D34B82">
      <w:pPr>
        <w:rPr>
          <w:rFonts w:ascii="仿宋" w:hAnsi="仿宋" w:eastAsia="仿宋"/>
          <w:sz w:val="32"/>
          <w:szCs w:val="32"/>
        </w:rPr>
      </w:pPr>
    </w:p>
    <w:p w14:paraId="27E6C6D5">
      <w:pPr>
        <w:pStyle w:val="21"/>
        <w:bidi w:val="0"/>
        <w:rPr>
          <w:rFonts w:hint="eastAsia"/>
          <w:lang w:eastAsia="zh-CN"/>
        </w:rPr>
      </w:pPr>
      <w:r>
        <w:rPr>
          <w:rFonts w:hint="eastAsia"/>
          <w:lang w:eastAsia="zh-CN"/>
        </w:rPr>
        <w:t>陈琰</w:t>
      </w:r>
      <w:r>
        <w:rPr>
          <w:rFonts w:hint="eastAsia"/>
          <w:lang w:val="en-US" w:eastAsia="zh-CN"/>
        </w:rPr>
        <w:t>等18位</w:t>
      </w:r>
      <w:r>
        <w:rPr>
          <w:rFonts w:hint="eastAsia"/>
          <w:lang w:eastAsia="zh-CN"/>
        </w:rPr>
        <w:t>委员：</w:t>
      </w:r>
    </w:p>
    <w:p w14:paraId="74BA0855">
      <w:pPr>
        <w:pStyle w:val="15"/>
        <w:bidi w:val="0"/>
        <w:rPr>
          <w:rFonts w:hint="eastAsia"/>
          <w:lang w:eastAsia="zh-CN"/>
        </w:rPr>
      </w:pPr>
      <w:r>
        <w:rPr>
          <w:rFonts w:hint="eastAsia"/>
          <w:lang w:eastAsia="zh-CN"/>
        </w:rPr>
        <w:t>你们提出的《关于完善青少年职业体验体系，推动青少年生涯规划的建议》</w:t>
      </w:r>
      <w:r>
        <w:rPr>
          <w:rFonts w:hint="eastAsia"/>
        </w:rPr>
        <w:t>的提案</w:t>
      </w:r>
      <w:r>
        <w:rPr>
          <w:rFonts w:hint="eastAsia"/>
          <w:lang w:eastAsia="zh-CN"/>
        </w:rPr>
        <w:t>收悉。现答复如下：</w:t>
      </w:r>
    </w:p>
    <w:p w14:paraId="2B3C180A">
      <w:pPr>
        <w:pStyle w:val="15"/>
        <w:bidi w:val="0"/>
        <w:rPr>
          <w:rFonts w:hint="eastAsia"/>
          <w:lang w:val="en-US" w:eastAsia="zh-CN"/>
        </w:rPr>
      </w:pPr>
      <w:r>
        <w:rPr>
          <w:rFonts w:hint="eastAsia"/>
          <w:lang w:val="en-US" w:eastAsia="zh-CN"/>
        </w:rPr>
        <w:t>近年来，我市高度重视青少年职业体验教育，将其作为促进学生全面发展、培养创新精神和实践能力的重要举措。</w:t>
      </w:r>
    </w:p>
    <w:p w14:paraId="356291AE">
      <w:pPr>
        <w:pStyle w:val="15"/>
        <w:bidi w:val="0"/>
        <w:rPr>
          <w:rFonts w:hint="eastAsia"/>
          <w:lang w:val="en-US" w:eastAsia="zh-CN"/>
        </w:rPr>
      </w:pPr>
      <w:r>
        <w:rPr>
          <w:rStyle w:val="23"/>
          <w:rFonts w:hint="eastAsia"/>
          <w:lang w:val="en-US" w:eastAsia="zh-CN"/>
        </w:rPr>
        <w:t>一是强化顶层设计，夯实职业教育发展基础。</w:t>
      </w:r>
      <w:r>
        <w:rPr>
          <w:rFonts w:hint="eastAsia"/>
          <w:lang w:val="en-US" w:eastAsia="zh-CN"/>
        </w:rPr>
        <w:t>完善职业体验中心建设，自2019年以来，苏州市陆续认定了54个市级中小学职业体验中心，其中49个顺利获批为省级，涉及28所职业院校，开发体验项目500余个。2024年至2025年建设遴选126家“苏州市中小学劳动教育实践基地”，包含49个省级职业体验中心。</w:t>
      </w:r>
      <w:r>
        <w:rPr>
          <w:rFonts w:hint="default"/>
          <w:lang w:val="en-US" w:eastAsia="zh-CN"/>
        </w:rPr>
        <w:t>2024</w:t>
      </w:r>
      <w:r>
        <w:rPr>
          <w:rFonts w:hint="eastAsia"/>
          <w:lang w:val="en-US" w:eastAsia="zh-CN"/>
        </w:rPr>
        <w:t>年上线“苏州市中小学劳动教育实践基地”平台，实现基地展示、课程发布、预约、记录、反馈等功能。利用在城市和乡村林立的科技馆、生态园、工作室资源，建设168家社会实践体验站。引导学生通过优质职业课程形成的体验项目，感受多彩职业文化，在孩子心中种下工匠精神的种子。近年来，苏州市财政局积极配合教育部门推进中小学职业体验中心建设，2025年安排维修项目资金2050万元，统筹用于场地建设、设备购置等方面，为职业体验项目的开展提供了有力保障，推动现有体验项目不断优化升级，逐步形成更多高质量课程。同时，鼓励职业学校结合苏州产业特色开发优质体验课程。支持学校引入企业资源，并利用好教育基金会，多方筹措，共同开发贴近苏州产业结构和未来产业布局的课程，提升学生对苏州特色产业的认知与兴趣。</w:t>
      </w:r>
    </w:p>
    <w:p w14:paraId="307222D9">
      <w:pPr>
        <w:pStyle w:val="15"/>
        <w:bidi w:val="0"/>
        <w:rPr>
          <w:rFonts w:hint="eastAsia"/>
          <w:lang w:val="en-US" w:eastAsia="zh-CN"/>
        </w:rPr>
      </w:pPr>
      <w:r>
        <w:rPr>
          <w:rStyle w:val="23"/>
          <w:rFonts w:hint="eastAsia"/>
          <w:lang w:val="en-US" w:eastAsia="zh-CN"/>
        </w:rPr>
        <w:t>二是畅通成长渠道，构建人才培养体系。</w:t>
      </w:r>
      <w:r>
        <w:rPr>
          <w:rFonts w:hint="eastAsia"/>
          <w:lang w:val="en-US" w:eastAsia="zh-CN"/>
        </w:rPr>
        <w:t>通过五年制高职一体化培养、中职与本科“3+4”分段培养、高职与本科“5+2”分段培养、中职毕业生免试注册入学、高职学生“专转本”等途径，构建了以职教本科为引领、以高职为主体、以中职为基础的现代职业教育体系，畅通了中职学校学生成长、成才通道，形成中职、高职、本科层次职业教育一体化协同发展机制，满足了中职学生升学需求。全市技工院校进一步优化调整人才培养方案，学校须依据部颁指导性教学计划组织教学，合理安排学生顶岗实习。根据苏州产业升级和技术变革对技能人才的新需求优化普职资源，整合职业院校优质课程资源，开发针对中小学的职业教育课程包，通过职业活动周、校园开放日、专题讲座等方式，开展中小学职业启蒙与职业认知教育。</w:t>
      </w:r>
    </w:p>
    <w:p w14:paraId="76EE2A9C">
      <w:pPr>
        <w:pStyle w:val="15"/>
        <w:bidi w:val="0"/>
        <w:rPr>
          <w:rFonts w:hint="eastAsia"/>
          <w:lang w:val="en-US" w:eastAsia="zh-CN"/>
        </w:rPr>
      </w:pPr>
      <w:r>
        <w:rPr>
          <w:rStyle w:val="23"/>
          <w:rFonts w:hint="eastAsia"/>
          <w:lang w:val="en-US" w:eastAsia="zh-CN"/>
        </w:rPr>
        <w:t>三是开展体验活动，点亮学生职业理想</w:t>
      </w:r>
      <w:r>
        <w:rPr>
          <w:rFonts w:hint="eastAsia"/>
          <w:lang w:val="en-US" w:eastAsia="zh-CN"/>
        </w:rPr>
        <w:t>。近年来，越来越多的苏州职业院校敞开校门和实训室，邀请初中生走进职业学校亲身体验教学与实训一体的教学方式，并积极开展各式各样的职业体验活动和职业启蒙课程，将职业教育发展的新面貌、新技术、新课程与中小学生、家长们共享，引导学生树立职业理想，规划制定个性化职业目标，大力推行“招工即招生、入企即入校、企校双师联合培养”的企业新型学徒制培养模式。加强校企合作工作指导，鼓励全市技工院校与华为等知名企业深度合作，加强校企双向交流，加强骨干教师和企业高技能人才双向交流、互派互聘。鼓励学校组织下企业教研活动。江苏省昆山第二中等专业学校汽车维修职业体验中心为学生们提供了丰富多彩的体验项目，同学们成为小小探索家，认知汽车构造，体验车辆维护作业，了解汽车维修专用工具的使用，拆解新能源汽车动力传统系统等。江苏省苏州技师学院新建华为工匠学院等三家产业学院，苏州市电子信息技师学院新建元宇宙数字生活实训室。</w:t>
      </w:r>
    </w:p>
    <w:p w14:paraId="2A4026A3">
      <w:pPr>
        <w:pStyle w:val="15"/>
        <w:bidi w:val="0"/>
        <w:rPr>
          <w:rFonts w:hint="eastAsia"/>
          <w:lang w:val="en-US" w:eastAsia="zh-CN"/>
        </w:rPr>
      </w:pPr>
      <w:r>
        <w:rPr>
          <w:rStyle w:val="23"/>
          <w:rFonts w:hint="eastAsia"/>
          <w:lang w:val="en-US" w:eastAsia="zh-CN"/>
        </w:rPr>
        <w:t>四是完善就业服务，提升职业教育育人实效</w:t>
      </w:r>
      <w:r>
        <w:rPr>
          <w:rFonts w:hint="eastAsia"/>
          <w:lang w:val="en-US" w:eastAsia="zh-CN"/>
        </w:rPr>
        <w:t>。健全对接产业、动态调整、自我完善的专业建设发展机制，优化全市技工教育专业布局。全面推行工学一体化技能人才培养模式，构建工学一体的课程体系和实训体系。聚焦苏州市1030产业体系，加快高端装备、新能源汽车、新一代信息技术、新兴数字产业类专业建设，新增3个省级特色专业群，推动技工院校专业与地区主导产业匹配度达到80%以上。抢占数字经济“关键赛道”，完善数字技能人才培养机制，建设数字技能资源供给体系，打造数字技能人才培养示范载体。加强就业宣导工作，组织就业指导和专题安全讲座，不断增强学生就业意识和就业竞争力。有效落实毕业生就业满意度、用人单位满意度调研工作，提升就业质量。</w:t>
      </w:r>
    </w:p>
    <w:p w14:paraId="4B77EC72">
      <w:pPr>
        <w:pStyle w:val="15"/>
        <w:bidi w:val="0"/>
        <w:rPr>
          <w:rFonts w:hint="default"/>
          <w:lang w:val="en-US" w:eastAsia="zh-CN"/>
        </w:rPr>
      </w:pPr>
      <w:r>
        <w:rPr>
          <w:rFonts w:hint="eastAsia"/>
          <w:lang w:val="en-US" w:eastAsia="zh-CN"/>
        </w:rPr>
        <w:t>您的建议给了我们很大的启发，下一步我市将进一步加强对青少年职业体验体系建设、推动青少年生涯规划的研究，强化系统性体系建设，多部门协同推进；加强政策保障与行业监管；加强宣传引导，提高中小学职业体验中心覆盖面。推动学校加强科学性统筹推进，把握体验教育方向，创设适合各年龄段认知特点的真实职业情境和体验岗位；优化师资力量配备，建强相关专业力量；强化标准规范引领，完善职业体验中心建设标准。依托家校社“教联体”建设，构筑广泛性写作合力。</w:t>
      </w:r>
    </w:p>
    <w:p w14:paraId="1BF923B6">
      <w:pPr>
        <w:pStyle w:val="15"/>
        <w:bidi w:val="0"/>
      </w:pPr>
      <w:r>
        <w:rPr>
          <w:rFonts w:hint="eastAsia"/>
        </w:rPr>
        <w:t>最后</w:t>
      </w:r>
      <w:r>
        <w:t>，</w:t>
      </w:r>
      <w:r>
        <w:rPr>
          <w:rFonts w:hint="eastAsia"/>
        </w:rPr>
        <w:t>感谢</w:t>
      </w:r>
      <w:r>
        <w:rPr>
          <w:rFonts w:hint="eastAsia"/>
          <w:lang w:eastAsia="zh-CN"/>
        </w:rPr>
        <w:t>你们</w:t>
      </w:r>
      <w:r>
        <w:t>对教育的理解和支持！</w:t>
      </w:r>
      <w:bookmarkStart w:id="0" w:name="_GoBack"/>
      <w:bookmarkEnd w:id="0"/>
    </w:p>
    <w:p w14:paraId="22E8BF8E">
      <w:pPr>
        <w:ind w:firstLine="640" w:firstLineChars="200"/>
        <w:rPr>
          <w:rFonts w:ascii="仿宋" w:hAnsi="仿宋" w:eastAsia="仿宋"/>
          <w:sz w:val="32"/>
          <w:szCs w:val="32"/>
        </w:rPr>
      </w:pPr>
    </w:p>
    <w:p w14:paraId="647F4E0B">
      <w:pPr>
        <w:ind w:firstLine="640" w:firstLineChars="200"/>
        <w:rPr>
          <w:rFonts w:ascii="仿宋" w:hAnsi="仿宋" w:eastAsia="仿宋"/>
          <w:sz w:val="32"/>
          <w:szCs w:val="32"/>
        </w:rPr>
      </w:pPr>
    </w:p>
    <w:p w14:paraId="364E2889">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5068249F">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25</w:t>
      </w:r>
      <w:r>
        <w:rPr>
          <w:rFonts w:ascii="仿宋" w:hAnsi="仿宋" w:eastAsia="仿宋"/>
          <w:sz w:val="32"/>
          <w:szCs w:val="32"/>
        </w:rPr>
        <w:t>日</w:t>
      </w:r>
    </w:p>
    <w:p w14:paraId="1783F619">
      <w:pPr>
        <w:rPr>
          <w:rFonts w:ascii="仿宋" w:hAnsi="仿宋" w:eastAsia="仿宋"/>
          <w:sz w:val="32"/>
          <w:szCs w:val="32"/>
        </w:rPr>
      </w:pPr>
    </w:p>
    <w:p w14:paraId="7248E3A0">
      <w:pPr>
        <w:rPr>
          <w:rFonts w:ascii="仿宋" w:hAnsi="仿宋" w:eastAsia="仿宋"/>
          <w:sz w:val="32"/>
          <w:szCs w:val="32"/>
        </w:rPr>
      </w:pPr>
    </w:p>
    <w:p w14:paraId="28977FAA">
      <w:pPr>
        <w:rPr>
          <w:rFonts w:ascii="仿宋" w:hAnsi="仿宋" w:eastAsia="仿宋"/>
          <w:sz w:val="32"/>
          <w:szCs w:val="32"/>
        </w:rPr>
      </w:pPr>
    </w:p>
    <w:p w14:paraId="4B870653">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211F0319">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0A82E60B">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eastAsia="仿宋"/>
          <w:color w:val="0000FF"/>
          <w:sz w:val="32"/>
          <w:szCs w:val="32"/>
          <w:lang w:eastAsia="zh-CN"/>
        </w:rPr>
      </w:pPr>
      <w:r>
        <w:rPr>
          <w:rFonts w:hint="eastAsia"/>
        </w:rPr>
        <w:t>抄</w:t>
      </w:r>
      <w:r>
        <w:t xml:space="preserve">      </w:t>
      </w:r>
      <w:r>
        <w:rPr>
          <w:rFonts w:hint="eastAsia"/>
        </w:rPr>
        <w:t>送：市政府办公室、市政协提案委</w:t>
      </w:r>
      <w:r>
        <w:rPr>
          <w:rFonts w:hint="eastAsia"/>
          <w:lang w:eastAsia="zh-CN"/>
        </w:rPr>
        <w:t>、市人社局</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F73E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5E9DCC">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365E9DCC">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570F7">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lang/>
      </w:rPr>
      <w:t>- 2 -</w:t>
    </w:r>
    <w:r>
      <w:rPr>
        <w:rFonts w:ascii="宋体" w:hAnsi="宋体" w:eastAsia="宋体"/>
        <w:sz w:val="28"/>
        <w:szCs w:val="28"/>
      </w:rPr>
      <w:fldChar w:fldCharType="end"/>
    </w:r>
  </w:p>
  <w:p w14:paraId="1C3A6F8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5BAA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545C9">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48BA654E"/>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AD82C3E"/>
    <w:rsid w:val="101A2ED3"/>
    <w:rsid w:val="1DA41C5A"/>
    <w:rsid w:val="20E62BD1"/>
    <w:rsid w:val="21486514"/>
    <w:rsid w:val="294F1BAF"/>
    <w:rsid w:val="2CFF3CE2"/>
    <w:rsid w:val="48BA654E"/>
    <w:rsid w:val="49E46575"/>
    <w:rsid w:val="4BEB6189"/>
    <w:rsid w:val="54542900"/>
    <w:rsid w:val="61A7456F"/>
    <w:rsid w:val="61CD07DD"/>
    <w:rsid w:val="751065EC"/>
    <w:rsid w:val="7D7B196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7">
    <w:name w:val="Normal Table"/>
    <w:unhideWhenUsed/>
    <w:uiPriority w:val="99"/>
    <w:tblPr>
      <w:tblStyle w:val="7"/>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标题 1 Char"/>
    <w:link w:val="2"/>
    <w:uiPriority w:val="0"/>
    <w:rPr>
      <w:rFonts w:ascii="仿宋_GB2312" w:eastAsia="仿宋_GB2312"/>
      <w:b/>
      <w:bCs/>
      <w:kern w:val="44"/>
      <w:sz w:val="44"/>
      <w:szCs w:val="44"/>
    </w:rPr>
  </w:style>
  <w:style w:type="character" w:customStyle="1" w:styleId="12">
    <w:name w:val="标题 Char"/>
    <w:link w:val="6"/>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uiPriority w:val="0"/>
    <w:pPr>
      <w:widowControl/>
    </w:pPr>
    <w:rPr>
      <w:rFonts w:ascii="Times New Roman" w:eastAsia="宋体"/>
      <w:kern w:val="0"/>
      <w:szCs w:val="21"/>
    </w:rPr>
  </w:style>
  <w:style w:type="paragraph" w:customStyle="1" w:styleId="17">
    <w:name w:val="Char Char Char Char"/>
    <w:basedOn w:val="1"/>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link w:val="23"/>
    <w:qFormat/>
    <w:uiPriority w:val="0"/>
    <w:pPr>
      <w:ind w:firstLine="640" w:firstLineChars="200"/>
    </w:pPr>
    <w:rPr>
      <w:rFonts w:ascii="黑体" w:eastAsia="黑体"/>
      <w:sz w:val="32"/>
      <w:szCs w:val="32"/>
    </w:rPr>
  </w:style>
  <w:style w:type="paragraph" w:customStyle="1" w:styleId="20">
    <w:name w:val="正文1"/>
    <w:uiPriority w:val="0"/>
    <w:pPr>
      <w:jc w:val="both"/>
    </w:pPr>
    <w:rPr>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uiPriority w:val="0"/>
    <w:pPr>
      <w:widowControl/>
    </w:pPr>
    <w:rPr>
      <w:rFonts w:ascii="Times New Roman" w:eastAsia="宋体"/>
      <w:kern w:val="0"/>
      <w:szCs w:val="21"/>
    </w:rPr>
  </w:style>
  <w:style w:type="character" w:customStyle="1" w:styleId="23">
    <w:name w:val="公文一级目录 Char"/>
    <w:link w:val="19"/>
    <w:uiPriority w:val="0"/>
    <w:rPr>
      <w:rFonts w:asci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5919;&#21327;&#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0政协主办.dot</Template>
  <Pages>4</Pages>
  <Words>127</Words>
  <Characters>142</Characters>
  <Lines>1</Lines>
  <Paragraphs>1</Paragraphs>
  <TotalTime>1</TotalTime>
  <ScaleCrop>false</ScaleCrop>
  <LinksUpToDate>false</LinksUpToDate>
  <CharactersWithSpaces>170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2025-06-26T07:35:00Z</dcterms:created>
  <dc:creator>琪思喵相</dc:creator>
  <cp:keywords>JYJBGS</cp:keywords>
  <cp:lastModifiedBy>琪思喵相</cp:lastModifiedBy>
  <dcterms:modified xsi:type="dcterms:W3CDTF">2025-06-26T07:37:53Z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D4D75F0CDB134BC39DE1E1648A60F9AD_11</vt:lpwstr>
  </property>
  <property fmtid="{D5CDD505-2E9C-101B-9397-08002B2CF9AE}" pid="4" name="KSOTemplateDocerSaveRecord">
    <vt:lpwstr>eyJoZGlkIjoiYzg3YTJjMjUwZGEyZjJiODFhMTlhYmEzNjdhOWVlZTUiLCJ1c2VySWQiOiI2Nzc3OTk0In0=</vt:lpwstr>
  </property>
</Properties>
</file>